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6C16CEC1" w14:textId="77777777" w:rsidR="00654AB2" w:rsidRDefault="00654AB2">
      <w:pPr>
        <w:pStyle w:val="BodyText"/>
        <w:rPr>
          <w:rFonts w:ascii="Times New Roman"/>
          <w:sz w:val="45"/>
        </w:rPr>
      </w:pPr>
    </w:p>
    <w:p w14:paraId="46F0B7EC" w14:textId="77777777" w:rsidR="00387406" w:rsidRPr="00654AB2" w:rsidRDefault="00387406">
      <w:pPr>
        <w:pStyle w:val="BodyText"/>
        <w:rPr>
          <w:rFonts w:asciiTheme="minorHAnsi" w:hAnsiTheme="minorHAnsi" w:cstheme="minorHAnsi"/>
          <w:b/>
          <w:bCs/>
          <w:sz w:val="45"/>
        </w:rPr>
      </w:pPr>
    </w:p>
    <w:p w14:paraId="5A75ED29" w14:textId="159724AC" w:rsidR="00654AB2" w:rsidRDefault="00654AB2" w:rsidP="00654AB2">
      <w:pPr>
        <w:pStyle w:val="BodyText"/>
        <w:spacing w:line="276" w:lineRule="auto"/>
        <w:jc w:val="center"/>
        <w:rPr>
          <w:b/>
          <w:bCs/>
          <w:sz w:val="45"/>
        </w:rPr>
      </w:pPr>
      <w:r w:rsidRPr="00654AB2">
        <w:rPr>
          <w:b/>
          <w:bCs/>
          <w:sz w:val="45"/>
        </w:rPr>
        <w:t>Forage strategies for failing crops</w:t>
      </w:r>
    </w:p>
    <w:p w14:paraId="49B9D130" w14:textId="77777777" w:rsidR="00654AB2" w:rsidRPr="00654AB2" w:rsidRDefault="00654AB2" w:rsidP="00654AB2">
      <w:pPr>
        <w:pStyle w:val="BodyText"/>
        <w:spacing w:line="276" w:lineRule="auto"/>
        <w:jc w:val="center"/>
        <w:rPr>
          <w:b/>
          <w:bCs/>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802" w14:textId="77777777" w:rsidR="00387406" w:rsidRDefault="00387406">
      <w:pPr>
        <w:pStyle w:val="BodyText"/>
        <w:rPr>
          <w:i/>
        </w:rPr>
      </w:pPr>
    </w:p>
    <w:p w14:paraId="1F11B0D8" w14:textId="77777777" w:rsidR="00654AB2" w:rsidRDefault="00654AB2">
      <w:pPr>
        <w:pStyle w:val="BodyText"/>
        <w:rPr>
          <w:i/>
        </w:rPr>
      </w:pPr>
    </w:p>
    <w:p w14:paraId="71F46F89" w14:textId="77777777" w:rsidR="00654AB2" w:rsidRDefault="00654AB2">
      <w:pPr>
        <w:pStyle w:val="BodyText"/>
        <w:rPr>
          <w:i/>
        </w:rPr>
      </w:pPr>
    </w:p>
    <w:p w14:paraId="2F933C47" w14:textId="77777777" w:rsidR="00654AB2" w:rsidRDefault="00654AB2">
      <w:pPr>
        <w:pStyle w:val="BodyText"/>
        <w:rPr>
          <w:i/>
        </w:rPr>
      </w:pPr>
    </w:p>
    <w:p w14:paraId="3FBA4DB1" w14:textId="77777777" w:rsidR="00654AB2" w:rsidRDefault="00654AB2">
      <w:pPr>
        <w:pStyle w:val="BodyText"/>
        <w:rPr>
          <w:i/>
        </w:rPr>
      </w:pPr>
    </w:p>
    <w:p w14:paraId="5464126B" w14:textId="77777777" w:rsidR="00654AB2" w:rsidRDefault="00654AB2">
      <w:pPr>
        <w:pStyle w:val="BodyText"/>
        <w:rPr>
          <w:i/>
        </w:rPr>
      </w:pPr>
    </w:p>
    <w:p w14:paraId="67FD13AD" w14:textId="46B13C0B" w:rsidR="00654AB2" w:rsidRDefault="00654AB2">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 xml:space="preserve">of this request for </w:t>
      </w:r>
      <w:proofErr w:type="gramStart"/>
      <w:r>
        <w:rPr>
          <w:color w:val="030303"/>
          <w:sz w:val="17"/>
        </w:rPr>
        <w:t>tender</w:t>
      </w:r>
      <w:proofErr w:type="gramEnd"/>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Pr="00654AB2"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 xml:space="preserve">undertake a range of research and development and marketing programs designed to benefit beef, </w:t>
      </w:r>
      <w:proofErr w:type="spellStart"/>
      <w:r>
        <w:rPr>
          <w:color w:val="030303"/>
          <w:w w:val="105"/>
          <w:sz w:val="18"/>
        </w:rPr>
        <w:t>sheepmeat</w:t>
      </w:r>
      <w:proofErr w:type="spellEnd"/>
      <w:r>
        <w:rPr>
          <w:color w:val="030303"/>
          <w:w w:val="105"/>
          <w:sz w:val="18"/>
        </w:rPr>
        <w:t xml:space="preserve">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DE8EA85" w14:textId="77777777" w:rsidR="00654AB2" w:rsidRPr="00654AB2" w:rsidRDefault="00654AB2" w:rsidP="00654AB2">
      <w:pPr>
        <w:pStyle w:val="ListParagraph"/>
        <w:tabs>
          <w:tab w:val="left" w:pos="1768"/>
          <w:tab w:val="left" w:pos="1770"/>
        </w:tabs>
        <w:spacing w:line="295" w:lineRule="auto"/>
        <w:ind w:right="316" w:firstLine="0"/>
        <w:jc w:val="both"/>
        <w:rPr>
          <w:color w:val="030303"/>
          <w:sz w:val="18"/>
        </w:rPr>
      </w:pPr>
    </w:p>
    <w:p w14:paraId="5551781B" w14:textId="3533B6D4" w:rsidR="00654AB2" w:rsidRDefault="00654AB2">
      <w:pPr>
        <w:pStyle w:val="ListParagraph"/>
        <w:numPr>
          <w:ilvl w:val="2"/>
          <w:numId w:val="9"/>
        </w:numPr>
        <w:tabs>
          <w:tab w:val="left" w:pos="1768"/>
          <w:tab w:val="left" w:pos="1770"/>
        </w:tabs>
        <w:spacing w:line="295" w:lineRule="auto"/>
        <w:ind w:right="316"/>
        <w:jc w:val="both"/>
        <w:rPr>
          <w:color w:val="030303"/>
          <w:sz w:val="18"/>
        </w:rPr>
      </w:pPr>
      <w:r w:rsidRPr="00654AB2">
        <w:rPr>
          <w:color w:val="030303"/>
          <w:sz w:val="18"/>
        </w:rPr>
        <w:t xml:space="preserve">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60% of project value) through MDC, where eligible projects deliver outcomes that address broader industry and/or government priorities and benefit the entire industry. Please refer to the MLA Donor Company (MDC) background and application guidelines (or any replacement document) which you can find on MDC's </w:t>
      </w:r>
      <w:proofErr w:type="gramStart"/>
      <w:r w:rsidRPr="00654AB2">
        <w:rPr>
          <w:color w:val="030303"/>
          <w:sz w:val="18"/>
        </w:rPr>
        <w:t>website  https://www.mla.com.au/about</w:t>
      </w:r>
      <w:proofErr w:type="gramEnd"/>
      <w:r w:rsidRPr="00654AB2">
        <w:rPr>
          <w:color w:val="030303"/>
          <w:sz w:val="18"/>
        </w:rPr>
        <w:t xml:space="preserve">­ </w:t>
      </w:r>
      <w:proofErr w:type="spellStart"/>
      <w:r w:rsidRPr="00654AB2">
        <w:rPr>
          <w:color w:val="030303"/>
          <w:sz w:val="18"/>
        </w:rPr>
        <w:t>mla</w:t>
      </w:r>
      <w:proofErr w:type="spellEnd"/>
      <w:r w:rsidRPr="00654AB2">
        <w:rPr>
          <w:color w:val="030303"/>
          <w:sz w:val="18"/>
        </w:rPr>
        <w:t>/what-we-do/</w:t>
      </w:r>
      <w:proofErr w:type="spellStart"/>
      <w:r w:rsidRPr="00654AB2">
        <w:rPr>
          <w:color w:val="030303"/>
          <w:sz w:val="18"/>
        </w:rPr>
        <w:t>mla</w:t>
      </w:r>
      <w:proofErr w:type="spellEnd"/>
      <w:r w:rsidRPr="00654AB2">
        <w:rPr>
          <w:color w:val="030303"/>
          <w:sz w:val="18"/>
        </w:rPr>
        <w:t>-donor-company/.]</w:t>
      </w:r>
    </w:p>
    <w:p w14:paraId="46F0B897" w14:textId="77777777" w:rsidR="00387406" w:rsidRDefault="00387406">
      <w:pPr>
        <w:pStyle w:val="BodyText"/>
        <w:spacing w:before="15"/>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2E4B4371" w:rsidR="00387406" w:rsidRDefault="00DB7B9E">
      <w:pPr>
        <w:pStyle w:val="BodyText"/>
        <w:spacing w:before="1" w:line="295" w:lineRule="auto"/>
        <w:ind w:left="1095" w:right="509" w:firstLine="3"/>
      </w:pPr>
      <w:r>
        <w:rPr>
          <w:color w:val="030303"/>
          <w:w w:val="105"/>
        </w:rPr>
        <w:t xml:space="preserve">MLA invites interested parties to submit tenders </w:t>
      </w:r>
      <w:r w:rsidRPr="00E04ACE">
        <w:rPr>
          <w:b/>
          <w:bCs/>
          <w:color w:val="030303"/>
          <w:w w:val="105"/>
        </w:rPr>
        <w:t xml:space="preserve">by </w:t>
      </w:r>
      <w:sdt>
        <w:sdtPr>
          <w:rPr>
            <w:b/>
            <w:bCs/>
            <w:color w:val="030303"/>
            <w:w w:val="105"/>
          </w:rPr>
          <w:id w:val="-862740866"/>
          <w:placeholder>
            <w:docPart w:val="09C7F3C9CF26468CA8651B540B7CB3B5"/>
          </w:placeholder>
        </w:sdtPr>
        <w:sdtEndPr/>
        <w:sdtContent>
          <w:r w:rsidR="0015341A" w:rsidRPr="00E04ACE">
            <w:rPr>
              <w:b/>
              <w:bCs/>
              <w:color w:val="030303"/>
              <w:w w:val="105"/>
            </w:rPr>
            <w:t>5pm AEST</w:t>
          </w:r>
        </w:sdtContent>
      </w:sdt>
      <w:r w:rsidRPr="00E04ACE">
        <w:rPr>
          <w:b/>
          <w:bCs/>
          <w:color w:val="030303"/>
          <w:w w:val="105"/>
        </w:rPr>
        <w:t xml:space="preserve"> on </w:t>
      </w:r>
      <w:sdt>
        <w:sdtPr>
          <w:rPr>
            <w:b/>
            <w:bCs/>
            <w:color w:val="030303"/>
            <w:w w:val="105"/>
          </w:rPr>
          <w:id w:val="583959817"/>
          <w:placeholder>
            <w:docPart w:val="09C7F3C9CF26468CA8651B540B7CB3B5"/>
          </w:placeholder>
          <w:text/>
        </w:sdtPr>
        <w:sdtEndPr/>
        <w:sdtContent>
          <w:r w:rsidR="0015341A" w:rsidRPr="00E04ACE">
            <w:rPr>
              <w:b/>
              <w:bCs/>
              <w:color w:val="030303"/>
              <w:w w:val="105"/>
            </w:rPr>
            <w:t>Friday 18th July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957D8A">
            <w:rPr>
              <w:color w:val="030303"/>
              <w:w w:val="105"/>
            </w:rPr>
            <w:t xml:space="preserve">jgebbels@mla.com.au </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ACF615C"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to</w:t>
      </w:r>
      <w:r w:rsidR="00643C2C">
        <w:rPr>
          <w:color w:val="030303"/>
          <w:w w:val="105"/>
        </w:rPr>
        <w:t xml:space="preserve"> </w:t>
      </w:r>
      <w:hyperlink r:id="rId18" w:history="1">
        <w:r w:rsidR="00643C2C" w:rsidRPr="00914E55">
          <w:rPr>
            <w:rStyle w:val="Hyperlink"/>
            <w:w w:val="105"/>
          </w:rPr>
          <w:t>jgebbels@mla.com.au</w:t>
        </w:r>
      </w:hyperlink>
      <w:r w:rsidR="00643C2C">
        <w:rPr>
          <w:color w:val="030303"/>
          <w:w w:val="105"/>
        </w:rPr>
        <w:t xml:space="preserve"> </w:t>
      </w:r>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3A047540" w14:textId="77777777" w:rsidR="00075961" w:rsidRPr="00075961" w:rsidRDefault="00DB7B9E" w:rsidP="00075961">
      <w:pPr>
        <w:pStyle w:val="BodyText"/>
        <w:spacing w:before="1" w:line="292" w:lineRule="auto"/>
        <w:ind w:left="1097" w:right="337" w:hanging="3"/>
        <w:rPr>
          <w:b/>
          <w:bCs/>
          <w:color w:val="030303"/>
          <w:w w:val="105"/>
        </w:rPr>
      </w:pPr>
      <w:r>
        <w:rPr>
          <w:color w:val="030303"/>
          <w:w w:val="105"/>
        </w:rPr>
        <w:t>Section 3 describes MLA's requirements for</w:t>
      </w:r>
      <w:r w:rsidRPr="00075961">
        <w:rPr>
          <w:b/>
          <w:bCs/>
          <w:color w:val="030303"/>
          <w:w w:val="105"/>
        </w:rPr>
        <w:t xml:space="preserve"> </w:t>
      </w:r>
      <w:r w:rsidR="00075961" w:rsidRPr="00075961">
        <w:rPr>
          <w:b/>
          <w:bCs/>
          <w:color w:val="030303"/>
          <w:w w:val="105"/>
        </w:rPr>
        <w:t xml:space="preserve">Forage strategies for failing crops </w:t>
      </w:r>
    </w:p>
    <w:p w14:paraId="46F0B8B4" w14:textId="45218C51" w:rsidR="00387406" w:rsidRDefault="00075961" w:rsidP="00075961">
      <w:pPr>
        <w:pStyle w:val="BodyText"/>
        <w:spacing w:before="1" w:line="292" w:lineRule="auto"/>
        <w:ind w:left="1097" w:right="337" w:hanging="3"/>
      </w:pPr>
      <w:r w:rsidRPr="00075961">
        <w:rPr>
          <w:b/>
          <w:bCs/>
          <w:color w:val="030303"/>
          <w:w w:val="105"/>
        </w:rPr>
        <w:t>(grazing, silage, hay, managing weeds)</w:t>
      </w:r>
      <w:r w:rsidRPr="00075961">
        <w:rPr>
          <w:b/>
          <w:bCs/>
          <w:color w:val="030303"/>
          <w:w w:val="105"/>
          <w:sz w:val="17"/>
        </w:rPr>
        <w:t xml:space="preserve"> </w:t>
      </w:r>
      <w:r w:rsidR="00DB7B9E" w:rsidRPr="007D09FC">
        <w:rPr>
          <w:b/>
          <w:color w:val="030303"/>
          <w:w w:val="105"/>
          <w:szCs w:val="20"/>
        </w:rPr>
        <w:t>("Specification"</w:t>
      </w:r>
      <w:r w:rsidR="00DB7B9E">
        <w:rPr>
          <w:b/>
          <w:color w:val="030303"/>
          <w:w w:val="105"/>
          <w:sz w:val="17"/>
        </w:rPr>
        <w:t xml:space="preserve">). </w:t>
      </w:r>
      <w:r w:rsidR="00DB7B9E">
        <w:rPr>
          <w:color w:val="030303"/>
          <w:w w:val="105"/>
        </w:rPr>
        <w:t xml:space="preserve">Each </w:t>
      </w:r>
      <w:proofErr w:type="gramStart"/>
      <w:r w:rsidR="00DB7B9E">
        <w:rPr>
          <w:color w:val="030303"/>
          <w:w w:val="105"/>
        </w:rPr>
        <w:t>tenderer</w:t>
      </w:r>
      <w:proofErr w:type="gramEnd"/>
      <w:r w:rsidR="00DB7B9E">
        <w:rPr>
          <w:color w:val="030303"/>
          <w:w w:val="105"/>
        </w:rPr>
        <w:t xml:space="preserve"> must provide a statement detailing how it would meet MLA's requirements</w:t>
      </w:r>
      <w:r w:rsidR="00DB7B9E">
        <w:rPr>
          <w:color w:val="030303"/>
          <w:spacing w:val="27"/>
          <w:w w:val="105"/>
        </w:rPr>
        <w:t xml:space="preserve"> </w:t>
      </w:r>
      <w:r w:rsidR="00DB7B9E">
        <w:rPr>
          <w:color w:val="030303"/>
          <w:w w:val="105"/>
        </w:rPr>
        <w:t>in Section</w:t>
      </w:r>
      <w:r w:rsidR="00DB7B9E">
        <w:rPr>
          <w:color w:val="030303"/>
          <w:spacing w:val="25"/>
          <w:w w:val="105"/>
        </w:rPr>
        <w:t xml:space="preserve"> </w:t>
      </w:r>
      <w:r w:rsidR="00DB7B9E">
        <w:rPr>
          <w:color w:val="030303"/>
          <w:w w:val="105"/>
        </w:rPr>
        <w:t>3.</w:t>
      </w:r>
      <w:r>
        <w:rPr>
          <w:color w:val="030303"/>
          <w:w w:val="105"/>
        </w:rPr>
        <w:t xml:space="preserve"> </w:t>
      </w:r>
      <w:r w:rsidRPr="00075961">
        <w:rPr>
          <w:color w:val="030303"/>
          <w:w w:val="105"/>
        </w:rPr>
        <w:t>Tenderers should consider the MLA Donor Company (MDC) proposal guidelines and application form which are available on the MDC page MLA Donor Company I Meat &amp; Livestock Australia (or any replacement document) in preparing this statement</w:t>
      </w:r>
      <w:r w:rsidR="00C07772">
        <w:rPr>
          <w:color w:val="030303"/>
          <w:w w:val="105"/>
        </w:rPr>
        <w:t xml:space="preserve">. </w:t>
      </w:r>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 xml:space="preserve">royalty-free </w:t>
      </w:r>
      <w:proofErr w:type="spellStart"/>
      <w:r>
        <w:rPr>
          <w:color w:val="030303"/>
          <w:w w:val="105"/>
        </w:rPr>
        <w:t>licence</w:t>
      </w:r>
      <w:proofErr w:type="spellEnd"/>
      <w:r>
        <w:rPr>
          <w:color w:val="030303"/>
          <w:w w:val="105"/>
        </w:rPr>
        <w:t xml:space="preserv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proofErr w:type="gramStart"/>
      <w:r>
        <w:rPr>
          <w:color w:val="030303"/>
          <w:w w:val="105"/>
        </w:rPr>
        <w:t>tender</w:t>
      </w:r>
      <w:proofErr w:type="gramEnd"/>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 xml:space="preserve">advisers a </w:t>
      </w:r>
      <w:proofErr w:type="spellStart"/>
      <w:r>
        <w:rPr>
          <w:color w:val="030303"/>
          <w:w w:val="105"/>
        </w:rPr>
        <w:t>non</w:t>
      </w:r>
      <w:proofErr w:type="spellEnd"/>
      <w:r>
        <w:rPr>
          <w:color w:val="030303"/>
          <w:w w:val="105"/>
        </w:rPr>
        <w:t xml:space="preserve">­ exclusive, irrevocable, royalty-free </w:t>
      </w:r>
      <w:proofErr w:type="spellStart"/>
      <w:r>
        <w:rPr>
          <w:color w:val="030303"/>
          <w:w w:val="105"/>
        </w:rPr>
        <w:t>licence</w:t>
      </w:r>
      <w:proofErr w:type="spellEnd"/>
      <w:r>
        <w:rPr>
          <w:color w:val="030303"/>
          <w:w w:val="105"/>
        </w:rPr>
        <w:t xml:space="preserv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 xml:space="preserve">purposes of this tender process, as required by law or otherwise with the </w:t>
      </w:r>
      <w:proofErr w:type="gramStart"/>
      <w:r>
        <w:rPr>
          <w:color w:val="030303"/>
          <w:w w:val="105"/>
        </w:rPr>
        <w:t>tenderer's</w:t>
      </w:r>
      <w:proofErr w:type="gramEnd"/>
      <w:r>
        <w:rPr>
          <w:color w:val="030303"/>
          <w:w w:val="105"/>
        </w:rPr>
        <w:t xml:space="preserve">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 xml:space="preserve">Unless expressly provided in this request for </w:t>
      </w:r>
      <w:proofErr w:type="gramStart"/>
      <w:r>
        <w:rPr>
          <w:color w:val="030303"/>
          <w:w w:val="105"/>
        </w:rPr>
        <w:t>tender</w:t>
      </w:r>
      <w:proofErr w:type="gramEnd"/>
      <w:r>
        <w:rPr>
          <w:color w:val="030303"/>
          <w:w w:val="105"/>
        </w:rPr>
        <w:t>,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 xml:space="preserve">for </w:t>
      </w:r>
      <w:proofErr w:type="gramStart"/>
      <w:r>
        <w:rPr>
          <w:color w:val="030303"/>
          <w:w w:val="105"/>
        </w:rPr>
        <w:t>tender</w:t>
      </w:r>
      <w:proofErr w:type="gramEnd"/>
      <w:r>
        <w:rPr>
          <w:color w:val="030303"/>
          <w:w w:val="105"/>
        </w:rPr>
        <w:t xml:space="preserve">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proofErr w:type="gramStart"/>
      <w:r>
        <w:rPr>
          <w:color w:val="030303"/>
          <w:w w:val="105"/>
          <w:sz w:val="18"/>
        </w:rPr>
        <w:t>enter into</w:t>
      </w:r>
      <w:proofErr w:type="gramEnd"/>
      <w:r>
        <w:rPr>
          <w:color w:val="030303"/>
          <w:w w:val="105"/>
          <w:sz w:val="18"/>
        </w:rPr>
        <w:t xml:space="preserve">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 xml:space="preserve">otherwise deal with the </w:t>
      </w:r>
      <w:proofErr w:type="gramStart"/>
      <w:r>
        <w:rPr>
          <w:color w:val="030303"/>
          <w:w w:val="105"/>
          <w:sz w:val="18"/>
        </w:rPr>
        <w:t>conflict;</w:t>
      </w:r>
      <w:proofErr w:type="gramEnd"/>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p w14:paraId="2CF42C1A" w14:textId="3BEEBAC6" w:rsidR="00DD3B9F" w:rsidRDefault="00DD3B9F">
      <w:pPr>
        <w:pStyle w:val="ListParagraph"/>
        <w:numPr>
          <w:ilvl w:val="1"/>
          <w:numId w:val="9"/>
        </w:numPr>
        <w:tabs>
          <w:tab w:val="left" w:pos="1094"/>
        </w:tabs>
        <w:ind w:left="1094" w:hanging="937"/>
        <w:rPr>
          <w:b/>
          <w:bCs/>
          <w:color w:val="030303"/>
          <w:sz w:val="17"/>
          <w:szCs w:val="17"/>
        </w:rPr>
      </w:pPr>
      <w:r w:rsidRPr="00DD3B9F">
        <w:rPr>
          <w:b/>
          <w:bCs/>
          <w:color w:val="030303"/>
          <w:sz w:val="17"/>
          <w:szCs w:val="17"/>
        </w:rPr>
        <w:t>Project Access Fee</w:t>
      </w:r>
    </w:p>
    <w:p w14:paraId="74602EBA" w14:textId="77777777" w:rsidR="00DD3B9F" w:rsidRDefault="00DD3B9F" w:rsidP="00DD3B9F">
      <w:pPr>
        <w:pStyle w:val="BodyText"/>
        <w:spacing w:before="80"/>
        <w:ind w:left="1096"/>
        <w:rPr>
          <w:b/>
          <w:sz w:val="17"/>
        </w:rPr>
      </w:pPr>
    </w:p>
    <w:p w14:paraId="28ED9B52" w14:textId="77777777" w:rsidR="00DD3B9F" w:rsidRPr="00DD3B9F" w:rsidRDefault="00DD3B9F" w:rsidP="00DD3B9F">
      <w:pPr>
        <w:pStyle w:val="BodyText"/>
        <w:spacing w:line="290" w:lineRule="auto"/>
        <w:ind w:left="1096" w:right="401"/>
      </w:pPr>
      <w:r w:rsidRPr="00DD3B9F">
        <w:rPr>
          <w:color w:val="030303"/>
        </w:rPr>
        <w:t>The</w:t>
      </w:r>
      <w:r w:rsidRPr="00DD3B9F">
        <w:rPr>
          <w:color w:val="030303"/>
          <w:spacing w:val="20"/>
        </w:rPr>
        <w:t xml:space="preserve"> </w:t>
      </w:r>
      <w:r w:rsidRPr="00DD3B9F">
        <w:rPr>
          <w:color w:val="030303"/>
        </w:rPr>
        <w:t>tenderer</w:t>
      </w:r>
      <w:r w:rsidRPr="00DD3B9F">
        <w:rPr>
          <w:color w:val="030303"/>
          <w:spacing w:val="33"/>
        </w:rPr>
        <w:t xml:space="preserve"> </w:t>
      </w:r>
      <w:r w:rsidRPr="00DD3B9F">
        <w:rPr>
          <w:color w:val="030303"/>
        </w:rPr>
        <w:t>acknowledges</w:t>
      </w:r>
      <w:r w:rsidRPr="00DD3B9F">
        <w:rPr>
          <w:color w:val="030303"/>
          <w:spacing w:val="40"/>
        </w:rPr>
        <w:t xml:space="preserve"> </w:t>
      </w:r>
      <w:r w:rsidRPr="00DD3B9F">
        <w:rPr>
          <w:color w:val="030303"/>
        </w:rPr>
        <w:t>a</w:t>
      </w:r>
      <w:r w:rsidRPr="00DD3B9F">
        <w:rPr>
          <w:color w:val="030303"/>
          <w:spacing w:val="22"/>
        </w:rPr>
        <w:t xml:space="preserve"> </w:t>
      </w:r>
      <w:r w:rsidRPr="00DD3B9F">
        <w:rPr>
          <w:color w:val="030303"/>
        </w:rPr>
        <w:t>project</w:t>
      </w:r>
      <w:r w:rsidRPr="00DD3B9F">
        <w:rPr>
          <w:color w:val="030303"/>
          <w:spacing w:val="35"/>
        </w:rPr>
        <w:t xml:space="preserve"> </w:t>
      </w:r>
      <w:r w:rsidRPr="00DD3B9F">
        <w:rPr>
          <w:color w:val="030303"/>
        </w:rPr>
        <w:t>access</w:t>
      </w:r>
      <w:r w:rsidRPr="00DD3B9F">
        <w:rPr>
          <w:color w:val="030303"/>
          <w:spacing w:val="19"/>
        </w:rPr>
        <w:t xml:space="preserve"> </w:t>
      </w:r>
      <w:r w:rsidRPr="00DD3B9F">
        <w:rPr>
          <w:color w:val="030303"/>
        </w:rPr>
        <w:t>fee is payable</w:t>
      </w:r>
      <w:r w:rsidRPr="00DD3B9F">
        <w:rPr>
          <w:color w:val="030303"/>
          <w:spacing w:val="31"/>
        </w:rPr>
        <w:t xml:space="preserve"> </w:t>
      </w:r>
      <w:r w:rsidRPr="00DD3B9F">
        <w:rPr>
          <w:color w:val="030303"/>
        </w:rPr>
        <w:t>in</w:t>
      </w:r>
      <w:r w:rsidRPr="00DD3B9F">
        <w:rPr>
          <w:color w:val="030303"/>
          <w:spacing w:val="27"/>
        </w:rPr>
        <w:t xml:space="preserve"> </w:t>
      </w:r>
      <w:r w:rsidRPr="00DD3B9F">
        <w:rPr>
          <w:color w:val="030303"/>
        </w:rPr>
        <w:t>relation to</w:t>
      </w:r>
      <w:r w:rsidRPr="00DD3B9F">
        <w:rPr>
          <w:color w:val="030303"/>
          <w:spacing w:val="28"/>
        </w:rPr>
        <w:t xml:space="preserve"> </w:t>
      </w:r>
      <w:r w:rsidRPr="00DD3B9F">
        <w:rPr>
          <w:color w:val="030303"/>
        </w:rPr>
        <w:t>the</w:t>
      </w:r>
      <w:r w:rsidRPr="00DD3B9F">
        <w:rPr>
          <w:color w:val="030303"/>
          <w:spacing w:val="23"/>
        </w:rPr>
        <w:t xml:space="preserve"> </w:t>
      </w:r>
      <w:r w:rsidRPr="00DD3B9F">
        <w:rPr>
          <w:color w:val="030303"/>
        </w:rPr>
        <w:t>project</w:t>
      </w:r>
      <w:r w:rsidRPr="00DD3B9F">
        <w:rPr>
          <w:color w:val="030303"/>
          <w:spacing w:val="28"/>
        </w:rPr>
        <w:t xml:space="preserve"> </w:t>
      </w:r>
      <w:r w:rsidRPr="00DD3B9F">
        <w:rPr>
          <w:color w:val="030303"/>
        </w:rPr>
        <w:t>if</w:t>
      </w:r>
      <w:r w:rsidRPr="00DD3B9F">
        <w:rPr>
          <w:color w:val="030303"/>
          <w:spacing w:val="27"/>
        </w:rPr>
        <w:t xml:space="preserve"> </w:t>
      </w:r>
      <w:r w:rsidRPr="00DD3B9F">
        <w:rPr>
          <w:color w:val="030303"/>
        </w:rPr>
        <w:t>the tenderer</w:t>
      </w:r>
      <w:r w:rsidRPr="00DD3B9F">
        <w:rPr>
          <w:color w:val="030303"/>
          <w:spacing w:val="39"/>
        </w:rPr>
        <w:t xml:space="preserve"> </w:t>
      </w:r>
      <w:r w:rsidRPr="00DD3B9F">
        <w:rPr>
          <w:color w:val="030303"/>
        </w:rPr>
        <w:t>is successful</w:t>
      </w:r>
      <w:r w:rsidRPr="00DD3B9F">
        <w:rPr>
          <w:color w:val="030303"/>
          <w:spacing w:val="40"/>
        </w:rPr>
        <w:t xml:space="preserve"> </w:t>
      </w:r>
      <w:r w:rsidRPr="00DD3B9F">
        <w:rPr>
          <w:color w:val="030303"/>
        </w:rPr>
        <w:t>as set</w:t>
      </w:r>
      <w:r w:rsidRPr="00DD3B9F">
        <w:rPr>
          <w:color w:val="030303"/>
          <w:spacing w:val="28"/>
        </w:rPr>
        <w:t xml:space="preserve"> </w:t>
      </w:r>
      <w:r w:rsidRPr="00DD3B9F">
        <w:rPr>
          <w:color w:val="030303"/>
        </w:rPr>
        <w:t>out</w:t>
      </w:r>
      <w:r w:rsidRPr="00DD3B9F">
        <w:rPr>
          <w:color w:val="030303"/>
          <w:spacing w:val="40"/>
        </w:rPr>
        <w:t xml:space="preserve"> </w:t>
      </w:r>
      <w:r w:rsidRPr="00DD3B9F">
        <w:rPr>
          <w:color w:val="030303"/>
        </w:rPr>
        <w:t>in the</w:t>
      </w:r>
      <w:r w:rsidRPr="00DD3B9F">
        <w:rPr>
          <w:color w:val="030303"/>
          <w:spacing w:val="33"/>
        </w:rPr>
        <w:t xml:space="preserve"> </w:t>
      </w:r>
      <w:r w:rsidRPr="00DD3B9F">
        <w:rPr>
          <w:color w:val="030303"/>
        </w:rPr>
        <w:t>MLA</w:t>
      </w:r>
      <w:r w:rsidRPr="00DD3B9F">
        <w:rPr>
          <w:color w:val="030303"/>
          <w:spacing w:val="26"/>
        </w:rPr>
        <w:t xml:space="preserve"> </w:t>
      </w:r>
      <w:r w:rsidRPr="00DD3B9F">
        <w:rPr>
          <w:color w:val="030303"/>
        </w:rPr>
        <w:t>Donor</w:t>
      </w:r>
      <w:r w:rsidRPr="00DD3B9F">
        <w:rPr>
          <w:color w:val="030303"/>
          <w:spacing w:val="29"/>
        </w:rPr>
        <w:t xml:space="preserve"> </w:t>
      </w:r>
      <w:r w:rsidRPr="00DD3B9F">
        <w:rPr>
          <w:color w:val="030303"/>
        </w:rPr>
        <w:t>Company</w:t>
      </w:r>
      <w:r w:rsidRPr="00DD3B9F">
        <w:rPr>
          <w:color w:val="030303"/>
          <w:spacing w:val="40"/>
        </w:rPr>
        <w:t xml:space="preserve"> </w:t>
      </w:r>
      <w:r w:rsidRPr="00DD3B9F">
        <w:rPr>
          <w:color w:val="030303"/>
        </w:rPr>
        <w:t>(MDC)</w:t>
      </w:r>
      <w:r w:rsidRPr="00DD3B9F">
        <w:rPr>
          <w:color w:val="030303"/>
          <w:spacing w:val="40"/>
        </w:rPr>
        <w:t xml:space="preserve"> </w:t>
      </w:r>
      <w:r w:rsidRPr="00DD3B9F">
        <w:rPr>
          <w:color w:val="030303"/>
        </w:rPr>
        <w:t>proposal</w:t>
      </w:r>
      <w:r w:rsidRPr="00DD3B9F">
        <w:rPr>
          <w:color w:val="030303"/>
          <w:spacing w:val="29"/>
        </w:rPr>
        <w:t xml:space="preserve"> </w:t>
      </w:r>
      <w:r w:rsidRPr="00DD3B9F">
        <w:rPr>
          <w:color w:val="030303"/>
        </w:rPr>
        <w:t>guidelines</w:t>
      </w:r>
    </w:p>
    <w:p w14:paraId="3E6C551B" w14:textId="77777777" w:rsidR="00DD3B9F" w:rsidRPr="00DD3B9F" w:rsidRDefault="00DD3B9F" w:rsidP="00DD3B9F">
      <w:pPr>
        <w:pStyle w:val="BodyText"/>
        <w:spacing w:line="223" w:lineRule="exact"/>
        <w:ind w:left="1096"/>
      </w:pPr>
      <w:r w:rsidRPr="00DD3B9F">
        <w:rPr>
          <w:color w:val="030303"/>
          <w:w w:val="105"/>
        </w:rPr>
        <w:t>and</w:t>
      </w:r>
      <w:r w:rsidRPr="00DD3B9F">
        <w:rPr>
          <w:color w:val="030303"/>
          <w:spacing w:val="-6"/>
          <w:w w:val="105"/>
        </w:rPr>
        <w:t xml:space="preserve"> </w:t>
      </w:r>
      <w:r w:rsidRPr="00DD3B9F">
        <w:rPr>
          <w:color w:val="030303"/>
          <w:w w:val="105"/>
        </w:rPr>
        <w:t>application</w:t>
      </w:r>
      <w:r w:rsidRPr="00DD3B9F">
        <w:rPr>
          <w:color w:val="030303"/>
          <w:spacing w:val="1"/>
          <w:w w:val="105"/>
        </w:rPr>
        <w:t xml:space="preserve"> </w:t>
      </w:r>
      <w:proofErr w:type="gramStart"/>
      <w:r w:rsidRPr="00DD3B9F">
        <w:rPr>
          <w:color w:val="030303"/>
          <w:w w:val="105"/>
        </w:rPr>
        <w:t>form</w:t>
      </w:r>
      <w:proofErr w:type="gramEnd"/>
      <w:r w:rsidRPr="00DD3B9F">
        <w:rPr>
          <w:color w:val="030303"/>
          <w:spacing w:val="-2"/>
          <w:w w:val="105"/>
        </w:rPr>
        <w:t xml:space="preserve"> </w:t>
      </w:r>
      <w:r w:rsidRPr="00DD3B9F">
        <w:rPr>
          <w:color w:val="030303"/>
          <w:w w:val="105"/>
        </w:rPr>
        <w:t>which</w:t>
      </w:r>
      <w:r w:rsidRPr="00DD3B9F">
        <w:rPr>
          <w:color w:val="030303"/>
          <w:spacing w:val="-3"/>
          <w:w w:val="105"/>
        </w:rPr>
        <w:t xml:space="preserve"> </w:t>
      </w:r>
      <w:r w:rsidRPr="00DD3B9F">
        <w:rPr>
          <w:color w:val="030303"/>
          <w:w w:val="105"/>
        </w:rPr>
        <w:t>are</w:t>
      </w:r>
      <w:r w:rsidRPr="00DD3B9F">
        <w:rPr>
          <w:color w:val="030303"/>
          <w:spacing w:val="-3"/>
          <w:w w:val="105"/>
        </w:rPr>
        <w:t xml:space="preserve"> </w:t>
      </w:r>
      <w:r w:rsidRPr="00DD3B9F">
        <w:rPr>
          <w:color w:val="030303"/>
          <w:w w:val="105"/>
        </w:rPr>
        <w:t>available</w:t>
      </w:r>
      <w:r w:rsidRPr="00DD3B9F">
        <w:rPr>
          <w:color w:val="030303"/>
          <w:spacing w:val="4"/>
          <w:w w:val="105"/>
        </w:rPr>
        <w:t xml:space="preserve"> </w:t>
      </w:r>
      <w:r w:rsidRPr="00DD3B9F">
        <w:rPr>
          <w:color w:val="030303"/>
          <w:w w:val="105"/>
        </w:rPr>
        <w:t>on</w:t>
      </w:r>
      <w:r w:rsidRPr="00DD3B9F">
        <w:rPr>
          <w:color w:val="030303"/>
          <w:spacing w:val="-8"/>
          <w:w w:val="105"/>
        </w:rPr>
        <w:t xml:space="preserve"> </w:t>
      </w:r>
      <w:r w:rsidRPr="00DD3B9F">
        <w:rPr>
          <w:color w:val="030303"/>
          <w:w w:val="105"/>
        </w:rPr>
        <w:t xml:space="preserve">the MDC </w:t>
      </w:r>
      <w:proofErr w:type="gramStart"/>
      <w:r w:rsidRPr="00DD3B9F">
        <w:rPr>
          <w:color w:val="030303"/>
          <w:w w:val="105"/>
        </w:rPr>
        <w:t>page</w:t>
      </w:r>
      <w:r w:rsidRPr="00DD3B9F">
        <w:rPr>
          <w:color w:val="030303"/>
          <w:spacing w:val="-13"/>
          <w:w w:val="105"/>
        </w:rPr>
        <w:t xml:space="preserve"> </w:t>
      </w:r>
      <w:r w:rsidRPr="00DD3B9F">
        <w:rPr>
          <w:color w:val="0303FF"/>
          <w:spacing w:val="-32"/>
          <w:w w:val="105"/>
          <w:u w:val="single" w:color="0000FF"/>
        </w:rPr>
        <w:t xml:space="preserve"> </w:t>
      </w:r>
      <w:r w:rsidRPr="00DD3B9F">
        <w:rPr>
          <w:color w:val="0303FF"/>
          <w:w w:val="105"/>
          <w:u w:val="single" w:color="0000FF"/>
        </w:rPr>
        <w:t>MLA</w:t>
      </w:r>
      <w:proofErr w:type="gramEnd"/>
      <w:r w:rsidRPr="00DD3B9F">
        <w:rPr>
          <w:color w:val="0303FF"/>
          <w:spacing w:val="-2"/>
          <w:w w:val="105"/>
          <w:u w:val="single" w:color="0000FF"/>
        </w:rPr>
        <w:t xml:space="preserve"> </w:t>
      </w:r>
      <w:r w:rsidRPr="00DD3B9F">
        <w:rPr>
          <w:color w:val="0303FF"/>
          <w:w w:val="105"/>
          <w:u w:val="single" w:color="0000FF"/>
        </w:rPr>
        <w:t>Donor</w:t>
      </w:r>
      <w:r w:rsidRPr="00DD3B9F">
        <w:rPr>
          <w:color w:val="0303FF"/>
          <w:spacing w:val="-1"/>
          <w:w w:val="105"/>
          <w:u w:val="single" w:color="0000FF"/>
        </w:rPr>
        <w:t xml:space="preserve"> </w:t>
      </w:r>
      <w:r w:rsidRPr="00DD3B9F">
        <w:rPr>
          <w:color w:val="0303FF"/>
          <w:w w:val="105"/>
          <w:u w:val="single" w:color="0000FF"/>
        </w:rPr>
        <w:t>Company</w:t>
      </w:r>
      <w:r w:rsidRPr="00DD3B9F">
        <w:rPr>
          <w:color w:val="0303FF"/>
          <w:spacing w:val="16"/>
          <w:w w:val="105"/>
          <w:u w:val="single" w:color="0000FF"/>
        </w:rPr>
        <w:t xml:space="preserve"> </w:t>
      </w:r>
      <w:r w:rsidRPr="00DD3B9F">
        <w:rPr>
          <w:color w:val="0303FF"/>
          <w:w w:val="105"/>
          <w:sz w:val="24"/>
          <w:u w:val="single" w:color="0000FF"/>
        </w:rPr>
        <w:t>I</w:t>
      </w:r>
      <w:r w:rsidRPr="00DD3B9F">
        <w:rPr>
          <w:color w:val="0303FF"/>
          <w:spacing w:val="-6"/>
          <w:w w:val="105"/>
          <w:sz w:val="24"/>
          <w:u w:val="single" w:color="0000FF"/>
        </w:rPr>
        <w:t xml:space="preserve"> </w:t>
      </w:r>
      <w:r w:rsidRPr="00DD3B9F">
        <w:rPr>
          <w:color w:val="0303FF"/>
          <w:w w:val="105"/>
          <w:u w:val="single" w:color="0000FF"/>
        </w:rPr>
        <w:t>Meat</w:t>
      </w:r>
      <w:r w:rsidRPr="00DD3B9F">
        <w:rPr>
          <w:color w:val="0303FF"/>
          <w:spacing w:val="-1"/>
          <w:w w:val="105"/>
          <w:u w:val="single" w:color="0000FF"/>
        </w:rPr>
        <w:t xml:space="preserve"> </w:t>
      </w:r>
      <w:r w:rsidRPr="00DD3B9F">
        <w:rPr>
          <w:color w:val="0303FF"/>
          <w:spacing w:val="-10"/>
          <w:w w:val="105"/>
          <w:u w:val="single" w:color="0000FF"/>
        </w:rPr>
        <w:t>&amp;</w:t>
      </w:r>
    </w:p>
    <w:p w14:paraId="5D09CF1D" w14:textId="77777777" w:rsidR="00DD3B9F" w:rsidRDefault="00DD3B9F" w:rsidP="00DD3B9F">
      <w:pPr>
        <w:pStyle w:val="BodyText"/>
        <w:spacing w:before="30" w:line="295" w:lineRule="auto"/>
        <w:ind w:left="1096" w:right="509"/>
      </w:pPr>
      <w:r w:rsidRPr="00DD3B9F">
        <w:rPr>
          <w:color w:val="0303FF"/>
          <w:w w:val="105"/>
          <w:u w:val="single" w:color="0000FF"/>
        </w:rPr>
        <w:t xml:space="preserve">Livestock Australia </w:t>
      </w:r>
      <w:r w:rsidRPr="00DD3B9F">
        <w:rPr>
          <w:color w:val="030303"/>
          <w:w w:val="105"/>
        </w:rPr>
        <w:t>(or</w:t>
      </w:r>
      <w:r w:rsidRPr="00DD3B9F">
        <w:rPr>
          <w:color w:val="030303"/>
          <w:spacing w:val="-10"/>
          <w:w w:val="105"/>
        </w:rPr>
        <w:t xml:space="preserve"> </w:t>
      </w:r>
      <w:r w:rsidRPr="00DD3B9F">
        <w:rPr>
          <w:color w:val="030303"/>
          <w:w w:val="105"/>
        </w:rPr>
        <w:t>any</w:t>
      </w:r>
      <w:r w:rsidRPr="00DD3B9F">
        <w:rPr>
          <w:color w:val="030303"/>
          <w:spacing w:val="-9"/>
          <w:w w:val="105"/>
        </w:rPr>
        <w:t xml:space="preserve"> </w:t>
      </w:r>
      <w:r w:rsidRPr="00DD3B9F">
        <w:rPr>
          <w:color w:val="030303"/>
          <w:w w:val="105"/>
        </w:rPr>
        <w:t>replacement document).</w:t>
      </w:r>
      <w:r w:rsidRPr="00DD3B9F">
        <w:rPr>
          <w:color w:val="030303"/>
          <w:spacing w:val="34"/>
          <w:w w:val="105"/>
        </w:rPr>
        <w:t xml:space="preserve"> </w:t>
      </w:r>
      <w:r w:rsidRPr="00DD3B9F">
        <w:rPr>
          <w:color w:val="030303"/>
          <w:w w:val="105"/>
        </w:rPr>
        <w:t>The</w:t>
      </w:r>
      <w:r w:rsidRPr="00DD3B9F">
        <w:rPr>
          <w:color w:val="030303"/>
          <w:spacing w:val="-2"/>
          <w:w w:val="105"/>
        </w:rPr>
        <w:t xml:space="preserve"> </w:t>
      </w:r>
      <w:r w:rsidRPr="00DD3B9F">
        <w:rPr>
          <w:color w:val="030303"/>
          <w:w w:val="105"/>
        </w:rPr>
        <w:t>MDC</w:t>
      </w:r>
      <w:r w:rsidRPr="00DD3B9F">
        <w:rPr>
          <w:color w:val="030303"/>
          <w:spacing w:val="-6"/>
          <w:w w:val="105"/>
        </w:rPr>
        <w:t xml:space="preserve"> </w:t>
      </w:r>
      <w:r w:rsidRPr="00DD3B9F">
        <w:rPr>
          <w:color w:val="030303"/>
          <w:w w:val="105"/>
        </w:rPr>
        <w:t>project</w:t>
      </w:r>
      <w:r w:rsidRPr="00DD3B9F">
        <w:rPr>
          <w:color w:val="030303"/>
          <w:spacing w:val="-8"/>
          <w:w w:val="105"/>
        </w:rPr>
        <w:t xml:space="preserve"> </w:t>
      </w:r>
      <w:r w:rsidRPr="00DD3B9F">
        <w:rPr>
          <w:color w:val="030303"/>
          <w:w w:val="105"/>
        </w:rPr>
        <w:t>access</w:t>
      </w:r>
      <w:r w:rsidRPr="00DD3B9F">
        <w:rPr>
          <w:color w:val="030303"/>
          <w:spacing w:val="-9"/>
          <w:w w:val="105"/>
        </w:rPr>
        <w:t xml:space="preserve"> </w:t>
      </w:r>
      <w:r w:rsidRPr="00DD3B9F">
        <w:rPr>
          <w:color w:val="030303"/>
          <w:w w:val="105"/>
        </w:rPr>
        <w:t>fee</w:t>
      </w:r>
      <w:r w:rsidRPr="00DD3B9F">
        <w:rPr>
          <w:color w:val="030303"/>
          <w:spacing w:val="-11"/>
          <w:w w:val="105"/>
        </w:rPr>
        <w:t xml:space="preserve"> </w:t>
      </w:r>
      <w:r w:rsidRPr="00DD3B9F">
        <w:rPr>
          <w:color w:val="030303"/>
          <w:w w:val="105"/>
        </w:rPr>
        <w:t>is required to</w:t>
      </w:r>
      <w:r w:rsidRPr="00DD3B9F">
        <w:rPr>
          <w:color w:val="030303"/>
          <w:spacing w:val="40"/>
          <w:w w:val="105"/>
        </w:rPr>
        <w:t xml:space="preserve"> </w:t>
      </w:r>
      <w:r w:rsidRPr="00DD3B9F">
        <w:rPr>
          <w:color w:val="030303"/>
          <w:w w:val="105"/>
        </w:rPr>
        <w:t>support</w:t>
      </w:r>
      <w:r w:rsidRPr="00DD3B9F">
        <w:rPr>
          <w:color w:val="030303"/>
          <w:spacing w:val="40"/>
          <w:w w:val="105"/>
        </w:rPr>
        <w:t xml:space="preserve"> </w:t>
      </w:r>
      <w:r w:rsidRPr="00DD3B9F">
        <w:rPr>
          <w:color w:val="030303"/>
          <w:w w:val="105"/>
        </w:rPr>
        <w:t>the</w:t>
      </w:r>
      <w:r w:rsidRPr="00DD3B9F">
        <w:rPr>
          <w:color w:val="030303"/>
          <w:spacing w:val="40"/>
          <w:w w:val="105"/>
        </w:rPr>
        <w:t xml:space="preserve"> </w:t>
      </w:r>
      <w:r w:rsidRPr="00DD3B9F">
        <w:rPr>
          <w:color w:val="030303"/>
          <w:w w:val="105"/>
        </w:rPr>
        <w:t>management, administration and delivery of the project.</w:t>
      </w:r>
    </w:p>
    <w:p w14:paraId="753E5C19" w14:textId="77777777" w:rsidR="00DD3B9F" w:rsidRPr="00DD3B9F" w:rsidRDefault="00DD3B9F" w:rsidP="00DD3B9F">
      <w:pPr>
        <w:pStyle w:val="ListParagraph"/>
        <w:tabs>
          <w:tab w:val="left" w:pos="1094"/>
        </w:tabs>
        <w:ind w:left="1094" w:firstLine="0"/>
        <w:rPr>
          <w:b/>
          <w:bCs/>
          <w:color w:val="030303"/>
          <w:sz w:val="17"/>
          <w:szCs w:val="17"/>
        </w:rPr>
      </w:pPr>
    </w:p>
    <w:p w14:paraId="46F0B913" w14:textId="73981896"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w:t>
      </w:r>
      <w:proofErr w:type="spellStart"/>
      <w:r>
        <w:rPr>
          <w:color w:val="030303"/>
          <w:spacing w:val="-2"/>
          <w:w w:val="110"/>
        </w:rPr>
        <w:t>Cth</w:t>
      </w:r>
      <w:proofErr w:type="spellEnd"/>
      <w:r>
        <w:rPr>
          <w:color w:val="030303"/>
          <w:spacing w:val="-2"/>
          <w:w w:val="110"/>
        </w:rPr>
        <w:t>)</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proofErr w:type="gramStart"/>
      <w:r>
        <w:rPr>
          <w:color w:val="030303"/>
          <w:w w:val="105"/>
        </w:rPr>
        <w:t>tender</w:t>
      </w:r>
      <w:proofErr w:type="gramEnd"/>
      <w:r>
        <w:rPr>
          <w:color w:val="030303"/>
          <w:w w:val="105"/>
        </w:rPr>
        <w:t>,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3">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 xml:space="preserve">of the </w:t>
      </w:r>
      <w:proofErr w:type="gramStart"/>
      <w:r>
        <w:rPr>
          <w:color w:val="030303"/>
          <w:w w:val="110"/>
        </w:rPr>
        <w:t>tenderer's</w:t>
      </w:r>
      <w:proofErr w:type="gramEnd"/>
      <w:r>
        <w:rPr>
          <w:color w:val="030303"/>
          <w:w w:val="110"/>
        </w:rPr>
        <w:t xml:space="preserve">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tenderers who exhibit unacceptable </w:t>
      </w:r>
      <w:proofErr w:type="spellStart"/>
      <w:r>
        <w:rPr>
          <w:color w:val="030303"/>
          <w:w w:val="105"/>
        </w:rPr>
        <w:t>behaviour</w:t>
      </w:r>
      <w:proofErr w:type="spellEnd"/>
      <w:r>
        <w:rPr>
          <w:color w:val="030303"/>
          <w:w w:val="105"/>
        </w:rPr>
        <w:t xml:space="preserve">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 xml:space="preserve">successful tenderer and MLA enter into a 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b/>
          <w:color w:val="030303"/>
          <w:sz w:val="17"/>
          <w:szCs w:val="18"/>
        </w:rPr>
        <w:id w:val="676007345"/>
        <w:placeholder>
          <w:docPart w:val="09C7F3C9CF26468CA8651B540B7CB3B5"/>
        </w:placeholder>
      </w:sdtPr>
      <w:sdtEndPr>
        <w:rPr>
          <w:b w:val="0"/>
          <w:spacing w:val="-2"/>
          <w:w w:val="105"/>
          <w:sz w:val="18"/>
        </w:rPr>
      </w:sdtEndPr>
      <w:sdtContent>
        <w:p w14:paraId="46F0B987" w14:textId="3CFEC058" w:rsidR="00387406" w:rsidRPr="003B5391" w:rsidRDefault="00DB7B9E">
          <w:pPr>
            <w:pStyle w:val="ListParagraph"/>
            <w:numPr>
              <w:ilvl w:val="1"/>
              <w:numId w:val="7"/>
            </w:numPr>
            <w:tabs>
              <w:tab w:val="left" w:pos="1095"/>
            </w:tabs>
            <w:rPr>
              <w:color w:val="030303"/>
              <w:sz w:val="18"/>
            </w:rPr>
          </w:pPr>
          <w:r w:rsidRPr="003B5391">
            <w:rPr>
              <w:b/>
              <w:color w:val="030303"/>
              <w:sz w:val="17"/>
            </w:rPr>
            <w:t>Funding</w:t>
          </w:r>
          <w:r w:rsidRPr="003B5391">
            <w:rPr>
              <w:b/>
              <w:color w:val="030303"/>
              <w:spacing w:val="18"/>
              <w:sz w:val="17"/>
            </w:rPr>
            <w:t xml:space="preserve"> </w:t>
          </w:r>
          <w:r w:rsidRPr="003B5391">
            <w:rPr>
              <w:b/>
              <w:color w:val="030303"/>
              <w:spacing w:val="-2"/>
              <w:sz w:val="17"/>
            </w:rPr>
            <w:t>eligibility</w:t>
          </w:r>
        </w:p>
        <w:p w14:paraId="46F0B988" w14:textId="77777777" w:rsidR="00387406" w:rsidRPr="003B5391" w:rsidRDefault="00387406">
          <w:pPr>
            <w:pStyle w:val="BodyText"/>
            <w:spacing w:before="78"/>
            <w:rPr>
              <w:b/>
              <w:sz w:val="17"/>
            </w:rPr>
          </w:pPr>
        </w:p>
        <w:p w14:paraId="46F0B989" w14:textId="77777777" w:rsidR="00387406" w:rsidRPr="003B5391" w:rsidRDefault="00DB7B9E">
          <w:pPr>
            <w:pStyle w:val="BodyText"/>
            <w:spacing w:line="292" w:lineRule="auto"/>
            <w:ind w:left="1095" w:right="363" w:hanging="2"/>
          </w:pPr>
          <w:r w:rsidRPr="003B5391">
            <w:rPr>
              <w:color w:val="030303"/>
              <w:w w:val="105"/>
            </w:rPr>
            <w:t>Tenderers are to provide details regarding the source of monetary amounts which are proposed to be</w:t>
          </w:r>
          <w:r w:rsidRPr="003B5391">
            <w:rPr>
              <w:color w:val="030303"/>
              <w:spacing w:val="-8"/>
              <w:w w:val="105"/>
            </w:rPr>
            <w:t xml:space="preserve"> </w:t>
          </w:r>
          <w:r w:rsidRPr="003B5391">
            <w:rPr>
              <w:color w:val="030303"/>
              <w:w w:val="105"/>
            </w:rPr>
            <w:t>contributed and</w:t>
          </w:r>
          <w:r w:rsidRPr="003B5391">
            <w:rPr>
              <w:color w:val="030303"/>
              <w:spacing w:val="-1"/>
              <w:w w:val="105"/>
            </w:rPr>
            <w:t xml:space="preserve"> </w:t>
          </w:r>
          <w:r w:rsidRPr="003B5391">
            <w:rPr>
              <w:color w:val="030303"/>
              <w:w w:val="105"/>
            </w:rPr>
            <w:t>confirm the source is</w:t>
          </w:r>
          <w:r w:rsidRPr="003B5391">
            <w:rPr>
              <w:color w:val="030303"/>
              <w:spacing w:val="-5"/>
              <w:w w:val="105"/>
            </w:rPr>
            <w:t xml:space="preserve"> </w:t>
          </w:r>
          <w:r w:rsidRPr="003B5391">
            <w:rPr>
              <w:color w:val="030303"/>
              <w:w w:val="105"/>
            </w:rPr>
            <w:t>an</w:t>
          </w:r>
          <w:r w:rsidRPr="003B5391">
            <w:rPr>
              <w:color w:val="030303"/>
              <w:spacing w:val="-2"/>
              <w:w w:val="105"/>
            </w:rPr>
            <w:t xml:space="preserve"> </w:t>
          </w:r>
          <w:r w:rsidRPr="003B5391">
            <w:rPr>
              <w:color w:val="030303"/>
              <w:w w:val="105"/>
            </w:rPr>
            <w:t>eligible funding</w:t>
          </w:r>
          <w:r w:rsidRPr="003B5391">
            <w:rPr>
              <w:color w:val="030303"/>
              <w:spacing w:val="-8"/>
              <w:w w:val="105"/>
            </w:rPr>
            <w:t xml:space="preserve"> </w:t>
          </w:r>
          <w:r w:rsidRPr="003B5391">
            <w:rPr>
              <w:color w:val="030303"/>
              <w:w w:val="105"/>
            </w:rPr>
            <w:t>source as</w:t>
          </w:r>
          <w:r w:rsidRPr="003B5391">
            <w:rPr>
              <w:color w:val="030303"/>
              <w:spacing w:val="-2"/>
              <w:w w:val="105"/>
            </w:rPr>
            <w:t xml:space="preserve"> </w:t>
          </w:r>
          <w:r w:rsidRPr="003B5391">
            <w:rPr>
              <w:color w:val="030303"/>
              <w:w w:val="105"/>
            </w:rPr>
            <w:t>set out in the MLA Donor Company (MDC) proposal guidelines and application form which are</w:t>
          </w:r>
        </w:p>
        <w:p w14:paraId="46F0B98A" w14:textId="77777777" w:rsidR="00387406" w:rsidRPr="003B5391" w:rsidRDefault="00DB7B9E">
          <w:pPr>
            <w:pStyle w:val="BodyText"/>
            <w:spacing w:line="224" w:lineRule="exact"/>
            <w:ind w:left="1096"/>
          </w:pPr>
          <w:r w:rsidRPr="003B5391">
            <w:rPr>
              <w:color w:val="030303"/>
            </w:rPr>
            <w:t>available</w:t>
          </w:r>
          <w:r w:rsidRPr="003B5391">
            <w:rPr>
              <w:color w:val="030303"/>
              <w:spacing w:val="21"/>
            </w:rPr>
            <w:t xml:space="preserve"> </w:t>
          </w:r>
          <w:r w:rsidRPr="003B5391">
            <w:rPr>
              <w:color w:val="030303"/>
            </w:rPr>
            <w:t>on</w:t>
          </w:r>
          <w:r w:rsidRPr="003B5391">
            <w:rPr>
              <w:color w:val="030303"/>
              <w:spacing w:val="9"/>
            </w:rPr>
            <w:t xml:space="preserve"> </w:t>
          </w:r>
          <w:r w:rsidRPr="003B5391">
            <w:rPr>
              <w:color w:val="030303"/>
            </w:rPr>
            <w:t>the</w:t>
          </w:r>
          <w:r w:rsidRPr="003B5391">
            <w:rPr>
              <w:color w:val="030303"/>
              <w:spacing w:val="27"/>
            </w:rPr>
            <w:t xml:space="preserve"> </w:t>
          </w:r>
          <w:r w:rsidRPr="003B5391">
            <w:rPr>
              <w:color w:val="030303"/>
            </w:rPr>
            <w:t>MDC</w:t>
          </w:r>
          <w:r w:rsidRPr="003B5391">
            <w:rPr>
              <w:color w:val="030303"/>
              <w:spacing w:val="8"/>
            </w:rPr>
            <w:t xml:space="preserve"> </w:t>
          </w:r>
          <w:proofErr w:type="gramStart"/>
          <w:r w:rsidRPr="003B5391">
            <w:rPr>
              <w:color w:val="030303"/>
            </w:rPr>
            <w:t>page</w:t>
          </w:r>
          <w:r w:rsidRPr="003B5391">
            <w:rPr>
              <w:color w:val="030303"/>
              <w:spacing w:val="18"/>
            </w:rPr>
            <w:t xml:space="preserve"> </w:t>
          </w:r>
          <w:r w:rsidRPr="003B5391">
            <w:rPr>
              <w:color w:val="0303FF"/>
              <w:spacing w:val="-37"/>
              <w:u w:val="single" w:color="0000FF"/>
            </w:rPr>
            <w:t xml:space="preserve"> </w:t>
          </w:r>
          <w:r w:rsidRPr="003B5391">
            <w:rPr>
              <w:color w:val="0303FF"/>
              <w:u w:val="single" w:color="0000FF"/>
            </w:rPr>
            <w:t>MLA</w:t>
          </w:r>
          <w:proofErr w:type="gramEnd"/>
          <w:r w:rsidRPr="003B5391">
            <w:rPr>
              <w:color w:val="0303FF"/>
              <w:spacing w:val="14"/>
              <w:u w:val="single" w:color="0000FF"/>
            </w:rPr>
            <w:t xml:space="preserve"> </w:t>
          </w:r>
          <w:r w:rsidRPr="003B5391">
            <w:rPr>
              <w:color w:val="0303FF"/>
              <w:u w:val="single" w:color="0000FF"/>
            </w:rPr>
            <w:t>Donor</w:t>
          </w:r>
          <w:r w:rsidRPr="003B5391">
            <w:rPr>
              <w:color w:val="0303FF"/>
              <w:spacing w:val="16"/>
              <w:u w:val="single" w:color="0000FF"/>
            </w:rPr>
            <w:t xml:space="preserve"> </w:t>
          </w:r>
          <w:r w:rsidRPr="003B5391">
            <w:rPr>
              <w:color w:val="0303FF"/>
              <w:u w:val="single" w:color="0000FF"/>
            </w:rPr>
            <w:t>Company</w:t>
          </w:r>
          <w:r w:rsidRPr="003B5391">
            <w:rPr>
              <w:color w:val="0303FF"/>
              <w:spacing w:val="36"/>
              <w:u w:val="single" w:color="0000FF"/>
            </w:rPr>
            <w:t xml:space="preserve"> </w:t>
          </w:r>
          <w:r w:rsidRPr="003B5391">
            <w:rPr>
              <w:color w:val="0303FF"/>
              <w:sz w:val="25"/>
              <w:u w:val="single" w:color="0000FF"/>
            </w:rPr>
            <w:t>I</w:t>
          </w:r>
          <w:r w:rsidRPr="003B5391">
            <w:rPr>
              <w:color w:val="0303FF"/>
              <w:spacing w:val="18"/>
              <w:sz w:val="25"/>
              <w:u w:val="single" w:color="0000FF"/>
            </w:rPr>
            <w:t xml:space="preserve"> </w:t>
          </w:r>
          <w:r w:rsidRPr="003B5391">
            <w:rPr>
              <w:color w:val="0303FF"/>
              <w:u w:val="single" w:color="0000FF"/>
            </w:rPr>
            <w:t>Meat</w:t>
          </w:r>
          <w:r w:rsidRPr="003B5391">
            <w:rPr>
              <w:color w:val="0303FF"/>
              <w:spacing w:val="15"/>
              <w:u w:val="single" w:color="0000FF"/>
            </w:rPr>
            <w:t xml:space="preserve"> </w:t>
          </w:r>
          <w:r w:rsidRPr="003B5391">
            <w:rPr>
              <w:color w:val="0303FF"/>
              <w:u w:val="single" w:color="0000FF"/>
            </w:rPr>
            <w:t>&amp;</w:t>
          </w:r>
          <w:r w:rsidRPr="003B5391">
            <w:rPr>
              <w:color w:val="0303FF"/>
              <w:spacing w:val="19"/>
              <w:u w:val="single" w:color="0000FF"/>
            </w:rPr>
            <w:t xml:space="preserve"> </w:t>
          </w:r>
          <w:r w:rsidRPr="003B5391">
            <w:rPr>
              <w:color w:val="0303FF"/>
              <w:u w:val="single" w:color="0000FF"/>
            </w:rPr>
            <w:t>Livestock</w:t>
          </w:r>
          <w:r w:rsidRPr="003B5391">
            <w:rPr>
              <w:color w:val="0303FF"/>
              <w:spacing w:val="28"/>
              <w:u w:val="single" w:color="0000FF"/>
            </w:rPr>
            <w:t xml:space="preserve"> </w:t>
          </w:r>
          <w:r w:rsidRPr="003B5391">
            <w:rPr>
              <w:color w:val="0303FF"/>
              <w:u w:val="single" w:color="0000FF"/>
            </w:rPr>
            <w:t>Australia</w:t>
          </w:r>
          <w:r w:rsidRPr="003B5391">
            <w:rPr>
              <w:color w:val="0303FF"/>
              <w:spacing w:val="26"/>
              <w:u w:val="single" w:color="0000FF"/>
            </w:rPr>
            <w:t xml:space="preserve"> </w:t>
          </w:r>
          <w:r w:rsidRPr="003B5391">
            <w:rPr>
              <w:color w:val="030303"/>
            </w:rPr>
            <w:t>(or</w:t>
          </w:r>
          <w:r w:rsidRPr="003B5391">
            <w:rPr>
              <w:color w:val="030303"/>
              <w:spacing w:val="11"/>
            </w:rPr>
            <w:t xml:space="preserve"> </w:t>
          </w:r>
          <w:r w:rsidRPr="003B5391">
            <w:rPr>
              <w:color w:val="030303"/>
              <w:spacing w:val="-5"/>
            </w:rPr>
            <w:t>any</w:t>
          </w:r>
        </w:p>
        <w:p w14:paraId="46F0B98B" w14:textId="7D0B7E71" w:rsidR="00387406" w:rsidRDefault="00DB7B9E">
          <w:pPr>
            <w:pStyle w:val="BodyText"/>
            <w:spacing w:before="33"/>
            <w:ind w:left="1095"/>
          </w:pPr>
          <w:r w:rsidRPr="003B5391">
            <w:rPr>
              <w:color w:val="030303"/>
              <w:w w:val="105"/>
            </w:rPr>
            <w:t>replacement</w:t>
          </w:r>
          <w:r w:rsidRPr="003B5391">
            <w:rPr>
              <w:color w:val="030303"/>
              <w:spacing w:val="18"/>
              <w:w w:val="105"/>
            </w:rPr>
            <w:t xml:space="preserve"> </w:t>
          </w:r>
          <w:r w:rsidRPr="003B5391">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6326B9">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6326B9">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6326B9">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6326B9">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8"/>
          <w:pgSz w:w="12240" w:h="15840"/>
          <w:pgMar w:top="1580" w:right="1500" w:bottom="860" w:left="1700" w:header="0" w:footer="662" w:gutter="0"/>
          <w:cols w:space="720"/>
        </w:sectPr>
      </w:pPr>
    </w:p>
    <w:p w14:paraId="46F0B9DE" w14:textId="64561573" w:rsidR="00387406" w:rsidRDefault="006326B9"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w:t>
      </w:r>
      <w:proofErr w:type="gramStart"/>
      <w:r>
        <w:rPr>
          <w:color w:val="030303"/>
          <w:w w:val="105"/>
        </w:rPr>
        <w:t>tenderer</w:t>
      </w:r>
      <w:proofErr w:type="gramEnd"/>
      <w:r>
        <w:rPr>
          <w:color w:val="030303"/>
          <w:w w:val="105"/>
        </w:rPr>
        <w:t xml:space="preserve"> must provide details (including the relevant </w:t>
      </w:r>
      <w:proofErr w:type="gramStart"/>
      <w:r>
        <w:rPr>
          <w:color w:val="030303"/>
          <w:w w:val="105"/>
        </w:rPr>
        <w:t>contact</w:t>
      </w:r>
      <w:proofErr w:type="gramEnd"/>
      <w:r>
        <w:rPr>
          <w:color w:val="030303"/>
          <w:w w:val="105"/>
        </w:rPr>
        <w:t xml:space="preserve">)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9"/>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19831977" w14:textId="77777777" w:rsidR="00387406" w:rsidRDefault="00387406">
      <w:pPr>
        <w:spacing w:line="295" w:lineRule="auto"/>
      </w:pPr>
    </w:p>
    <w:p w14:paraId="60003DD6" w14:textId="77777777" w:rsidR="00985B7E" w:rsidRPr="00985B7E" w:rsidRDefault="00985B7E" w:rsidP="00985B7E">
      <w:pPr>
        <w:widowControl/>
        <w:autoSpaceDE/>
        <w:autoSpaceDN/>
        <w:spacing w:after="80"/>
        <w:contextualSpacing/>
        <w:jc w:val="center"/>
        <w:rPr>
          <w:rFonts w:eastAsia="Times New Roman"/>
          <w:b/>
          <w:bCs/>
          <w:spacing w:val="-10"/>
          <w:kern w:val="28"/>
          <w:sz w:val="36"/>
          <w:szCs w:val="36"/>
          <w:lang w:val="en-AU"/>
          <w14:ligatures w14:val="standardContextual"/>
        </w:rPr>
      </w:pPr>
      <w:r w:rsidRPr="00985B7E">
        <w:rPr>
          <w:rFonts w:eastAsia="Times New Roman"/>
          <w:b/>
          <w:bCs/>
          <w:spacing w:val="-10"/>
          <w:kern w:val="28"/>
          <w:sz w:val="36"/>
          <w:szCs w:val="36"/>
          <w:lang w:val="en-AU"/>
          <w14:ligatures w14:val="standardContextual"/>
        </w:rPr>
        <w:t xml:space="preserve">Forage strategies for failing crops </w:t>
      </w:r>
    </w:p>
    <w:p w14:paraId="045135DA" w14:textId="77777777" w:rsidR="00985B7E" w:rsidRPr="00985B7E" w:rsidRDefault="00985B7E" w:rsidP="00985B7E">
      <w:pPr>
        <w:widowControl/>
        <w:autoSpaceDE/>
        <w:autoSpaceDN/>
        <w:spacing w:after="80"/>
        <w:contextualSpacing/>
        <w:jc w:val="center"/>
        <w:rPr>
          <w:rFonts w:eastAsia="Times New Roman"/>
          <w:b/>
          <w:bCs/>
          <w:spacing w:val="-10"/>
          <w:kern w:val="28"/>
          <w:sz w:val="36"/>
          <w:szCs w:val="36"/>
          <w:lang w:val="en-AU"/>
          <w14:ligatures w14:val="standardContextual"/>
        </w:rPr>
      </w:pPr>
      <w:r w:rsidRPr="00985B7E">
        <w:rPr>
          <w:rFonts w:eastAsia="Times New Roman"/>
          <w:b/>
          <w:bCs/>
          <w:spacing w:val="-10"/>
          <w:kern w:val="28"/>
          <w:sz w:val="36"/>
          <w:szCs w:val="36"/>
          <w:lang w:val="en-AU"/>
          <w14:ligatures w14:val="standardContextual"/>
        </w:rPr>
        <w:t>(grazing, silage, hay, managing weeds)</w:t>
      </w:r>
    </w:p>
    <w:p w14:paraId="3A8BB061" w14:textId="77777777" w:rsidR="00985B7E" w:rsidRPr="0035638B" w:rsidRDefault="00985B7E" w:rsidP="00985B7E">
      <w:pPr>
        <w:widowControl/>
        <w:autoSpaceDE/>
        <w:autoSpaceDN/>
        <w:spacing w:after="160" w:line="259" w:lineRule="auto"/>
        <w:rPr>
          <w:rFonts w:eastAsia="Aptos"/>
          <w:kern w:val="2"/>
          <w:sz w:val="14"/>
          <w:szCs w:val="14"/>
          <w:lang w:val="en-AU"/>
          <w14:ligatures w14:val="standardContextual"/>
        </w:rPr>
      </w:pPr>
    </w:p>
    <w:p w14:paraId="19E3972E"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t xml:space="preserve">Background </w:t>
      </w:r>
    </w:p>
    <w:p w14:paraId="4B2B797B" w14:textId="521AFB0C"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Across southern Australia’s mixed farming zone in the last three decades the proportion of the effective land area allocated to crop production (as opposed to annual or perennial pastures) has increased </w:t>
      </w:r>
      <w:r w:rsidRPr="00E6109B">
        <w:rPr>
          <w:rFonts w:eastAsia="Aptos"/>
          <w:kern w:val="2"/>
          <w:sz w:val="18"/>
          <w:szCs w:val="18"/>
          <w:lang w:val="en-AU"/>
          <w14:ligatures w14:val="standardContextual"/>
        </w:rPr>
        <w:fldChar w:fldCharType="begin"/>
      </w:r>
      <w:r w:rsidRPr="00E6109B">
        <w:rPr>
          <w:rFonts w:eastAsia="Aptos"/>
          <w:kern w:val="2"/>
          <w:sz w:val="18"/>
          <w:szCs w:val="18"/>
          <w:lang w:val="en-AU"/>
          <w14:ligatures w14:val="standardContextual"/>
        </w:rPr>
        <w:instrText xml:space="preserve"> ADDIN EN.CITE &lt;EndNote&gt;&lt;Cite&gt;&lt;Author&gt;Bell&lt;/Author&gt;&lt;Year&gt;2012&lt;/Year&gt;&lt;RecNum&gt;320&lt;/RecNum&gt;&lt;DisplayText&gt;(Bell &amp;amp; Moore, 2012)&lt;/DisplayText&gt;&lt;record&gt;&lt;rec-number&gt;320&lt;/rec-number&gt;&lt;foreign-keys&gt;&lt;key app="EN" db-id="5zf09xzp72s098exaxn5szfafxep9fsv9af9" timestamp="1740030730"&gt;320&lt;/key&gt;&lt;/foreign-keys&gt;&lt;ref-type name="Journal Article"&gt;17&lt;/ref-type&gt;&lt;contributors&gt;&lt;authors&gt;&lt;author&gt;Bell, Lindsay W.&lt;/author&gt;&lt;author&gt;Moore, Andrew D.&lt;/author&gt;&lt;/authors&gt;&lt;/contributors&gt;&lt;titles&gt;&lt;title&gt;Integrated crop–livestock systems in Australian agriculture: Trends, drivers and implications&lt;/title&gt;&lt;secondary-title&gt;Agricultural Systems&lt;/secondary-title&gt;&lt;/titles&gt;&lt;periodical&gt;&lt;full-title&gt;Agricultural Systems&lt;/full-title&gt;&lt;/periodical&gt;&lt;pages&gt;1-12&lt;/pages&gt;&lt;volume&gt;111&lt;/volume&gt;&lt;keywords&gt;&lt;keyword&gt;Modelling&lt;/keyword&gt;&lt;keyword&gt;Rotation&lt;/keyword&gt;&lt;keyword&gt;Land use&lt;/keyword&gt;&lt;keyword&gt;Productivity&lt;/keyword&gt;&lt;keyword&gt;Sustainability&lt;/keyword&gt;&lt;keyword&gt;Labour&lt;/keyword&gt;&lt;/keywords&gt;&lt;dates&gt;&lt;year&gt;2012&lt;/year&gt;&lt;pub-dates&gt;&lt;date&gt;2012/09/01/&lt;/date&gt;&lt;/pub-dates&gt;&lt;/dates&gt;&lt;isbn&gt;0308-521X&lt;/isbn&gt;&lt;urls&gt;&lt;related-urls&gt;&lt;url&gt;https://www.sciencedirect.com/science/article/pii/S0308521X12000686&lt;/url&gt;&lt;/related-urls&gt;&lt;/urls&gt;&lt;electronic-resource-num&gt;https://doi.org/10.1016/j.agsy.2012.04.003&lt;/electronic-resource-num&gt;&lt;/record&gt;&lt;/Cite&gt;&lt;/EndNote&gt;</w:instrText>
      </w:r>
      <w:r w:rsidRPr="00E6109B">
        <w:rPr>
          <w:rFonts w:eastAsia="Aptos"/>
          <w:kern w:val="2"/>
          <w:sz w:val="18"/>
          <w:szCs w:val="18"/>
          <w:lang w:val="en-AU"/>
          <w14:ligatures w14:val="standardContextual"/>
        </w:rPr>
        <w:fldChar w:fldCharType="separate"/>
      </w:r>
      <w:r w:rsidRPr="00E6109B">
        <w:rPr>
          <w:rFonts w:eastAsia="Aptos"/>
          <w:noProof/>
          <w:kern w:val="2"/>
          <w:sz w:val="18"/>
          <w:szCs w:val="18"/>
          <w:lang w:val="en-AU"/>
          <w14:ligatures w14:val="standardContextual"/>
        </w:rPr>
        <w:t>(Bell &amp; Moore, 2012)</w:t>
      </w:r>
      <w:r w:rsidRPr="00E6109B">
        <w:rPr>
          <w:rFonts w:eastAsia="Aptos"/>
          <w:kern w:val="2"/>
          <w:sz w:val="18"/>
          <w:szCs w:val="18"/>
          <w:lang w:val="en-AU"/>
          <w14:ligatures w14:val="standardContextual"/>
        </w:rPr>
        <w:fldChar w:fldCharType="end"/>
      </w:r>
      <w:r w:rsidRPr="00E6109B">
        <w:rPr>
          <w:rFonts w:eastAsia="Aptos"/>
          <w:kern w:val="2"/>
          <w:sz w:val="18"/>
          <w:szCs w:val="18"/>
          <w:lang w:val="en-AU"/>
          <w14:ligatures w14:val="standardContextual"/>
        </w:rPr>
        <w:t xml:space="preserve">. This increasing allocation to cropping can reduce flexibility and create enterprise risk </w:t>
      </w:r>
      <w:r w:rsidR="00F37523" w:rsidRPr="00E6109B">
        <w:rPr>
          <w:rFonts w:eastAsia="Aptos"/>
          <w:kern w:val="2"/>
          <w:sz w:val="18"/>
          <w:szCs w:val="18"/>
          <w:lang w:val="en-AU"/>
          <w14:ligatures w14:val="standardContextual"/>
        </w:rPr>
        <w:t>through</w:t>
      </w:r>
      <w:r w:rsidR="002A3757" w:rsidRPr="00E6109B">
        <w:rPr>
          <w:rFonts w:eastAsia="Aptos"/>
          <w:kern w:val="2"/>
          <w:sz w:val="18"/>
          <w:szCs w:val="18"/>
          <w:lang w:val="en-AU"/>
          <w14:ligatures w14:val="standardContextual"/>
        </w:rPr>
        <w:t xml:space="preserve"> </w:t>
      </w:r>
      <w:r w:rsidR="00E96E02" w:rsidRPr="00E6109B">
        <w:rPr>
          <w:rFonts w:eastAsia="Aptos"/>
          <w:kern w:val="2"/>
          <w:sz w:val="18"/>
          <w:szCs w:val="18"/>
          <w:lang w:val="en-AU"/>
          <w14:ligatures w14:val="standardContextual"/>
        </w:rPr>
        <w:t xml:space="preserve">increased </w:t>
      </w:r>
      <w:r w:rsidRPr="00E6109B">
        <w:rPr>
          <w:rFonts w:eastAsia="Aptos"/>
          <w:kern w:val="2"/>
          <w:sz w:val="18"/>
          <w:szCs w:val="18"/>
          <w:lang w:val="en-AU"/>
          <w14:ligatures w14:val="standardContextual"/>
        </w:rPr>
        <w:t xml:space="preserve">exposure to crop input costs, sensitivity to crop yields </w:t>
      </w:r>
      <w:r w:rsidR="00DF5162" w:rsidRPr="00E6109B">
        <w:rPr>
          <w:rFonts w:eastAsia="Aptos"/>
          <w:kern w:val="2"/>
          <w:sz w:val="18"/>
          <w:szCs w:val="18"/>
          <w:lang w:val="en-AU"/>
          <w14:ligatures w14:val="standardContextual"/>
        </w:rPr>
        <w:t xml:space="preserve">in response to extreme weather such as drought and frost, </w:t>
      </w:r>
      <w:r w:rsidRPr="00E6109B">
        <w:rPr>
          <w:rFonts w:eastAsia="Aptos"/>
          <w:kern w:val="2"/>
          <w:sz w:val="18"/>
          <w:szCs w:val="18"/>
          <w:lang w:val="en-AU"/>
          <w14:ligatures w14:val="standardContextual"/>
        </w:rPr>
        <w:t xml:space="preserve">and </w:t>
      </w:r>
      <w:r w:rsidR="00DF5162" w:rsidRPr="00E6109B">
        <w:rPr>
          <w:rFonts w:eastAsia="Aptos"/>
          <w:kern w:val="2"/>
          <w:sz w:val="18"/>
          <w:szCs w:val="18"/>
          <w:lang w:val="en-AU"/>
          <w14:ligatures w14:val="standardContextual"/>
        </w:rPr>
        <w:t>grain</w:t>
      </w:r>
      <w:r w:rsidRPr="00E6109B">
        <w:rPr>
          <w:rFonts w:eastAsia="Aptos"/>
          <w:kern w:val="2"/>
          <w:sz w:val="18"/>
          <w:szCs w:val="18"/>
          <w:lang w:val="en-AU"/>
          <w14:ligatures w14:val="standardContextual"/>
        </w:rPr>
        <w:t xml:space="preserve"> price</w:t>
      </w:r>
      <w:r w:rsidR="00DF5162" w:rsidRPr="00E6109B">
        <w:rPr>
          <w:rFonts w:eastAsia="Aptos"/>
          <w:kern w:val="2"/>
          <w:sz w:val="18"/>
          <w:szCs w:val="18"/>
          <w:lang w:val="en-AU"/>
          <w14:ligatures w14:val="standardContextual"/>
        </w:rPr>
        <w:t xml:space="preserve"> fluctuations</w:t>
      </w:r>
      <w:r w:rsidR="2EBEC539" w:rsidRPr="00E6109B">
        <w:rPr>
          <w:rFonts w:eastAsia="Aptos"/>
          <w:kern w:val="2"/>
          <w:sz w:val="18"/>
          <w:szCs w:val="18"/>
          <w:lang w:val="en-AU"/>
          <w14:ligatures w14:val="standardContextual"/>
        </w:rPr>
        <w:t xml:space="preserve">. </w:t>
      </w:r>
      <w:r w:rsidR="358698BA" w:rsidRPr="00E6109B">
        <w:rPr>
          <w:rFonts w:eastAsia="Aptos"/>
          <w:kern w:val="2"/>
          <w:sz w:val="18"/>
          <w:szCs w:val="18"/>
          <w:lang w:val="en-AU"/>
          <w14:ligatures w14:val="standardContextual"/>
        </w:rPr>
        <w:t xml:space="preserve">Weed control in the crop phase may </w:t>
      </w:r>
      <w:r w:rsidRPr="00E6109B">
        <w:rPr>
          <w:rFonts w:eastAsia="Aptos"/>
          <w:kern w:val="2"/>
          <w:sz w:val="18"/>
          <w:szCs w:val="18"/>
          <w:lang w:val="en-AU"/>
          <w14:ligatures w14:val="standardContextual"/>
        </w:rPr>
        <w:t xml:space="preserve">also become more difficult </w:t>
      </w:r>
      <w:r w:rsidR="468C3913" w:rsidRPr="00E6109B">
        <w:rPr>
          <w:rFonts w:eastAsia="Aptos"/>
          <w:kern w:val="2"/>
          <w:sz w:val="18"/>
          <w:szCs w:val="18"/>
          <w:lang w:val="en-AU"/>
          <w14:ligatures w14:val="standardContextual"/>
        </w:rPr>
        <w:t xml:space="preserve">due to increased </w:t>
      </w:r>
      <w:r w:rsidRPr="00E6109B">
        <w:rPr>
          <w:rFonts w:eastAsia="Aptos"/>
          <w:kern w:val="2"/>
          <w:sz w:val="18"/>
          <w:szCs w:val="18"/>
          <w:lang w:val="en-AU"/>
          <w14:ligatures w14:val="standardContextual"/>
        </w:rPr>
        <w:t xml:space="preserve">herbicide resistance. Future climate scenarios are likely to exacerbate these risks particularly in lower rainfall environments. </w:t>
      </w:r>
    </w:p>
    <w:p w14:paraId="7EE72C60" w14:textId="1E0897A1" w:rsidR="00985B7E" w:rsidRPr="00E6109B" w:rsidRDefault="00B74ADC"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It is therefore increasing important for </w:t>
      </w:r>
      <w:r w:rsidR="5E420ECC" w:rsidRPr="00E6109B">
        <w:rPr>
          <w:rFonts w:eastAsia="Aptos"/>
          <w:kern w:val="2"/>
          <w:sz w:val="18"/>
          <w:szCs w:val="18"/>
          <w:lang w:val="en-AU"/>
          <w14:ligatures w14:val="standardContextual"/>
        </w:rPr>
        <w:t xml:space="preserve">grain </w:t>
      </w:r>
      <w:r w:rsidRPr="00E6109B">
        <w:rPr>
          <w:rFonts w:eastAsia="Aptos"/>
          <w:kern w:val="2"/>
          <w:sz w:val="18"/>
          <w:szCs w:val="18"/>
          <w:lang w:val="en-AU"/>
          <w14:ligatures w14:val="standardContextual"/>
        </w:rPr>
        <w:t xml:space="preserve">producers to </w:t>
      </w:r>
      <w:r w:rsidR="00985B7E" w:rsidRPr="00E6109B">
        <w:rPr>
          <w:rFonts w:eastAsia="Aptos"/>
          <w:kern w:val="2"/>
          <w:sz w:val="18"/>
          <w:szCs w:val="18"/>
          <w:lang w:val="en-AU"/>
          <w14:ligatures w14:val="standardContextual"/>
        </w:rPr>
        <w:t>captur</w:t>
      </w:r>
      <w:r w:rsidRPr="00E6109B">
        <w:rPr>
          <w:rFonts w:eastAsia="Aptos"/>
          <w:kern w:val="2"/>
          <w:sz w:val="18"/>
          <w:szCs w:val="18"/>
          <w:lang w:val="en-AU"/>
          <w14:ligatures w14:val="standardContextual"/>
        </w:rPr>
        <w:t>e</w:t>
      </w:r>
      <w:r w:rsidR="00985B7E" w:rsidRPr="00E6109B">
        <w:rPr>
          <w:rFonts w:eastAsia="Aptos"/>
          <w:kern w:val="2"/>
          <w:sz w:val="18"/>
          <w:szCs w:val="18"/>
          <w:lang w:val="en-AU"/>
          <w14:ligatures w14:val="standardContextual"/>
        </w:rPr>
        <w:t xml:space="preserve"> maximum value from crops through</w:t>
      </w:r>
      <w:r w:rsidR="3C821B09" w:rsidRPr="240AE49B">
        <w:rPr>
          <w:rFonts w:eastAsia="Aptos"/>
          <w:sz w:val="18"/>
          <w:szCs w:val="18"/>
          <w:lang w:val="en-AU"/>
        </w:rPr>
        <w:t xml:space="preserve"> </w:t>
      </w:r>
      <w:r w:rsidR="2246BE37" w:rsidRPr="00E6109B">
        <w:rPr>
          <w:rFonts w:eastAsia="Aptos"/>
          <w:kern w:val="2"/>
          <w:sz w:val="18"/>
          <w:szCs w:val="18"/>
          <w:lang w:val="en-AU"/>
          <w14:ligatures w14:val="standardContextual"/>
        </w:rPr>
        <w:t>C</w:t>
      </w:r>
      <w:r w:rsidR="00985B7E" w:rsidRPr="00E6109B">
        <w:rPr>
          <w:rFonts w:eastAsia="Aptos"/>
          <w:kern w:val="2"/>
          <w:sz w:val="18"/>
          <w:szCs w:val="18"/>
          <w:lang w:val="en-AU"/>
          <w14:ligatures w14:val="standardContextual"/>
        </w:rPr>
        <w:t xml:space="preserve">rop grazing </w:t>
      </w:r>
      <w:r w:rsidR="0FEC22E0" w:rsidRPr="00E6109B">
        <w:rPr>
          <w:rFonts w:eastAsia="Aptos"/>
          <w:kern w:val="2"/>
          <w:sz w:val="18"/>
          <w:szCs w:val="18"/>
          <w:lang w:val="en-AU"/>
          <w14:ligatures w14:val="standardContextual"/>
        </w:rPr>
        <w:t xml:space="preserve">early in the growing season </w:t>
      </w:r>
      <w:r w:rsidR="00985B7E" w:rsidRPr="00E6109B">
        <w:rPr>
          <w:rFonts w:eastAsia="Aptos"/>
          <w:kern w:val="2"/>
          <w:sz w:val="18"/>
          <w:szCs w:val="18"/>
          <w:lang w:val="en-AU"/>
          <w14:ligatures w14:val="standardContextual"/>
        </w:rPr>
        <w:t xml:space="preserve"> </w:t>
      </w:r>
    </w:p>
    <w:p w14:paraId="059E4C93" w14:textId="77777777"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Utilising failed/failing/weedy crops for grazing, hay or silage </w:t>
      </w:r>
    </w:p>
    <w:p w14:paraId="24EC53E2" w14:textId="77777777"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Utilising the feeding value of stubbles (10-20% of the feedbase in some areas) </w:t>
      </w:r>
    </w:p>
    <w:p w14:paraId="195ACC96" w14:textId="5ADE2740"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Reducing stubble loads </w:t>
      </w:r>
      <w:r w:rsidR="4AADE03E" w:rsidRPr="4AAF67F7">
        <w:rPr>
          <w:rFonts w:eastAsia="Aptos"/>
          <w:sz w:val="18"/>
          <w:szCs w:val="18"/>
          <w:lang w:val="en-AU"/>
        </w:rPr>
        <w:t xml:space="preserve">via grazing </w:t>
      </w:r>
      <w:r w:rsidRPr="00E6109B">
        <w:rPr>
          <w:rFonts w:eastAsia="Aptos"/>
          <w:kern w:val="2"/>
          <w:sz w:val="18"/>
          <w:szCs w:val="18"/>
          <w:lang w:val="en-AU"/>
          <w14:ligatures w14:val="standardContextual"/>
        </w:rPr>
        <w:t>to improve trafficability and reduc</w:t>
      </w:r>
      <w:r w:rsidR="4429D7B7" w:rsidRPr="4BAFC32F">
        <w:rPr>
          <w:rFonts w:eastAsia="Aptos"/>
          <w:sz w:val="18"/>
          <w:szCs w:val="18"/>
          <w:lang w:val="en-AU"/>
        </w:rPr>
        <w:t>e</w:t>
      </w:r>
      <w:r w:rsidRPr="00E6109B">
        <w:rPr>
          <w:rFonts w:eastAsia="Aptos"/>
          <w:kern w:val="2"/>
          <w:sz w:val="18"/>
          <w:szCs w:val="18"/>
          <w:lang w:val="en-AU"/>
          <w14:ligatures w14:val="standardContextual"/>
        </w:rPr>
        <w:t xml:space="preserve"> the risk of frost for subsequent crops. </w:t>
      </w:r>
    </w:p>
    <w:p w14:paraId="1FD182B9"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01254E0B" w14:textId="7D47AD58"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Making a timely decision to graze or c</w:t>
      </w:r>
      <w:r w:rsidR="488D3647" w:rsidRPr="00E6109B">
        <w:rPr>
          <w:rFonts w:eastAsia="Aptos"/>
          <w:kern w:val="2"/>
          <w:sz w:val="18"/>
          <w:szCs w:val="18"/>
          <w:lang w:val="en-AU"/>
          <w14:ligatures w14:val="standardContextual"/>
        </w:rPr>
        <w:t xml:space="preserve">reate forage from </w:t>
      </w:r>
      <w:r w:rsidRPr="00E6109B">
        <w:rPr>
          <w:rFonts w:eastAsia="Aptos"/>
          <w:kern w:val="2"/>
          <w:sz w:val="18"/>
          <w:szCs w:val="18"/>
          <w:lang w:val="en-AU"/>
          <w14:ligatures w14:val="standardContextual"/>
        </w:rPr>
        <w:t>a failing or weedy crop can be an effective method of reducing losses and ensuring the paddock is in good condition for subsequent crop seeding.</w:t>
      </w:r>
      <w:r w:rsidR="00C546C2" w:rsidRPr="00E6109B">
        <w:rPr>
          <w:rFonts w:eastAsia="Aptos"/>
          <w:kern w:val="2"/>
          <w:sz w:val="18"/>
          <w:szCs w:val="18"/>
          <w:lang w:val="en-AU"/>
          <w14:ligatures w14:val="standardContextual"/>
        </w:rPr>
        <w:t xml:space="preserve"> </w:t>
      </w:r>
      <w:r w:rsidR="00B62560" w:rsidRPr="00E6109B">
        <w:rPr>
          <w:rFonts w:eastAsia="Aptos"/>
          <w:kern w:val="2"/>
          <w:sz w:val="18"/>
          <w:szCs w:val="18"/>
          <w:lang w:val="en-AU"/>
          <w14:ligatures w14:val="standardContextual"/>
        </w:rPr>
        <w:t xml:space="preserve">In addition, </w:t>
      </w:r>
      <w:r w:rsidR="67083C64" w:rsidRPr="00E6109B">
        <w:rPr>
          <w:rFonts w:eastAsia="Aptos"/>
          <w:kern w:val="2"/>
          <w:sz w:val="18"/>
          <w:szCs w:val="18"/>
          <w:lang w:val="en-AU"/>
          <w14:ligatures w14:val="standardContextual"/>
        </w:rPr>
        <w:t>grain</w:t>
      </w:r>
      <w:r w:rsidR="00B62560" w:rsidRPr="00E6109B">
        <w:rPr>
          <w:rFonts w:eastAsia="Aptos"/>
          <w:kern w:val="2"/>
          <w:sz w:val="18"/>
          <w:szCs w:val="18"/>
          <w:lang w:val="en-AU"/>
          <w14:ligatures w14:val="standardContextual"/>
        </w:rPr>
        <w:t xml:space="preserve"> </w:t>
      </w:r>
      <w:r w:rsidR="00846066" w:rsidRPr="00E6109B">
        <w:rPr>
          <w:rFonts w:eastAsia="Aptos"/>
          <w:kern w:val="2"/>
          <w:sz w:val="18"/>
          <w:szCs w:val="18"/>
          <w:lang w:val="en-AU"/>
          <w14:ligatures w14:val="standardContextual"/>
        </w:rPr>
        <w:t xml:space="preserve">growers </w:t>
      </w:r>
      <w:r w:rsidR="00360D1F" w:rsidRPr="00E6109B">
        <w:rPr>
          <w:rFonts w:eastAsia="Aptos"/>
          <w:kern w:val="2"/>
          <w:sz w:val="18"/>
          <w:szCs w:val="18"/>
          <w:lang w:val="en-AU"/>
          <w14:ligatures w14:val="standardContextual"/>
        </w:rPr>
        <w:t xml:space="preserve">may </w:t>
      </w:r>
      <w:r w:rsidR="0028023C" w:rsidRPr="00E6109B">
        <w:rPr>
          <w:rFonts w:eastAsia="Aptos"/>
          <w:kern w:val="2"/>
          <w:sz w:val="18"/>
          <w:szCs w:val="18"/>
          <w:lang w:val="en-AU"/>
          <w14:ligatures w14:val="standardContextual"/>
        </w:rPr>
        <w:t xml:space="preserve">have more confidence </w:t>
      </w:r>
      <w:r w:rsidR="00846066" w:rsidRPr="00E6109B">
        <w:rPr>
          <w:rFonts w:eastAsia="Aptos"/>
          <w:kern w:val="2"/>
          <w:sz w:val="18"/>
          <w:szCs w:val="18"/>
          <w:lang w:val="en-AU"/>
          <w14:ligatures w14:val="standardContextual"/>
        </w:rPr>
        <w:t xml:space="preserve">to sow a crop in more marginal </w:t>
      </w:r>
      <w:r w:rsidR="000F7BC2" w:rsidRPr="00E6109B">
        <w:rPr>
          <w:rFonts w:eastAsia="Aptos"/>
          <w:kern w:val="2"/>
          <w:sz w:val="18"/>
          <w:szCs w:val="18"/>
          <w:lang w:val="en-AU"/>
          <w14:ligatures w14:val="standardContextual"/>
        </w:rPr>
        <w:t>conditions</w:t>
      </w:r>
      <w:r w:rsidR="00846066" w:rsidRPr="00E6109B">
        <w:rPr>
          <w:rFonts w:eastAsia="Aptos"/>
          <w:kern w:val="2"/>
          <w:sz w:val="18"/>
          <w:szCs w:val="18"/>
          <w:lang w:val="en-AU"/>
          <w14:ligatures w14:val="standardContextual"/>
        </w:rPr>
        <w:t xml:space="preserve"> if they know </w:t>
      </w:r>
      <w:r w:rsidR="00342E31" w:rsidRPr="00E6109B">
        <w:rPr>
          <w:rFonts w:eastAsia="Aptos"/>
          <w:kern w:val="2"/>
          <w:sz w:val="18"/>
          <w:szCs w:val="18"/>
          <w:lang w:val="en-AU"/>
          <w14:ligatures w14:val="standardContextual"/>
        </w:rPr>
        <w:t xml:space="preserve">forage conservation </w:t>
      </w:r>
      <w:r w:rsidR="006235A8" w:rsidRPr="00E6109B">
        <w:rPr>
          <w:rFonts w:eastAsia="Aptos"/>
          <w:kern w:val="2"/>
          <w:sz w:val="18"/>
          <w:szCs w:val="18"/>
          <w:lang w:val="en-AU"/>
          <w14:ligatures w14:val="standardContextual"/>
        </w:rPr>
        <w:t xml:space="preserve">is a reliable and proven </w:t>
      </w:r>
      <w:r w:rsidR="00846066" w:rsidRPr="00E6109B">
        <w:rPr>
          <w:rFonts w:eastAsia="Aptos"/>
          <w:kern w:val="2"/>
          <w:sz w:val="18"/>
          <w:szCs w:val="18"/>
          <w:lang w:val="en-AU"/>
          <w14:ligatures w14:val="standardContextual"/>
        </w:rPr>
        <w:t>plan B</w:t>
      </w:r>
      <w:r w:rsidR="002539AA" w:rsidRPr="00E6109B">
        <w:rPr>
          <w:rFonts w:eastAsia="Aptos"/>
          <w:kern w:val="2"/>
          <w:sz w:val="18"/>
          <w:szCs w:val="18"/>
          <w:lang w:val="en-AU"/>
          <w14:ligatures w14:val="standardContextual"/>
        </w:rPr>
        <w:t>, whether for on-farm consumption or off-farm sales.</w:t>
      </w:r>
      <w:r w:rsidRPr="00E6109B">
        <w:rPr>
          <w:rFonts w:eastAsia="Aptos"/>
          <w:kern w:val="2"/>
          <w:sz w:val="18"/>
          <w:szCs w:val="18"/>
          <w:lang w:val="en-AU"/>
          <w14:ligatures w14:val="standardContextual"/>
        </w:rPr>
        <w:t xml:space="preserve"> </w:t>
      </w:r>
    </w:p>
    <w:p w14:paraId="0F2FB804"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Ultimately, the decision of whether to take a crop through to harvest is impacted by a multitude of factors including: </w:t>
      </w:r>
    </w:p>
    <w:p w14:paraId="34B337E3"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Soil moisture level </w:t>
      </w:r>
    </w:p>
    <w:p w14:paraId="5A73DAE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Short- and longer-term weather forecasts </w:t>
      </w:r>
    </w:p>
    <w:p w14:paraId="29A2243B" w14:textId="5B2D353D"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Crop growth stage</w:t>
      </w:r>
      <w:r w:rsidR="003F1A2F" w:rsidRPr="00E6109B">
        <w:rPr>
          <w:rFonts w:eastAsia="Aptos"/>
          <w:kern w:val="2"/>
          <w:sz w:val="18"/>
          <w:szCs w:val="18"/>
          <w:lang w:val="en-AU"/>
          <w14:ligatures w14:val="standardContextual"/>
        </w:rPr>
        <w:t xml:space="preserve">, current </w:t>
      </w:r>
      <w:r w:rsidRPr="00E6109B">
        <w:rPr>
          <w:rFonts w:eastAsia="Aptos"/>
          <w:kern w:val="2"/>
          <w:sz w:val="18"/>
          <w:szCs w:val="18"/>
          <w:lang w:val="en-AU"/>
          <w14:ligatures w14:val="standardContextual"/>
        </w:rPr>
        <w:t xml:space="preserve">biomass </w:t>
      </w:r>
      <w:r w:rsidR="00D17ED6" w:rsidRPr="00E6109B">
        <w:rPr>
          <w:rFonts w:eastAsia="Aptos"/>
          <w:kern w:val="2"/>
          <w:sz w:val="18"/>
          <w:szCs w:val="18"/>
          <w:lang w:val="en-AU"/>
          <w14:ligatures w14:val="standardContextual"/>
        </w:rPr>
        <w:t>yield</w:t>
      </w:r>
      <w:r w:rsidR="003F1A2F" w:rsidRPr="00E6109B">
        <w:rPr>
          <w:rFonts w:eastAsia="Aptos"/>
          <w:kern w:val="2"/>
          <w:sz w:val="18"/>
          <w:szCs w:val="18"/>
          <w:lang w:val="en-AU"/>
          <w14:ligatures w14:val="standardContextual"/>
        </w:rPr>
        <w:t xml:space="preserve"> and predicted grain yield</w:t>
      </w:r>
    </w:p>
    <w:p w14:paraId="4C54A5B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Crop type and animal feeding value (cost per MJ of ME) </w:t>
      </w:r>
    </w:p>
    <w:p w14:paraId="6666B68C"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Fragility of the soils and risk of erosion </w:t>
      </w:r>
    </w:p>
    <w:p w14:paraId="0D75FADE" w14:textId="3717DE88"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Grain prices relative to fodder or livestock prices </w:t>
      </w:r>
    </w:p>
    <w:p w14:paraId="0225E09B"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Enterprise balance i.e. do they also have a livestock enterprise </w:t>
      </w:r>
    </w:p>
    <w:p w14:paraId="02265881" w14:textId="08AEEE5E"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Animal health risks (mycotoxins, ARGT, nitrate poisoning) </w:t>
      </w:r>
    </w:p>
    <w:p w14:paraId="141DF734" w14:textId="784B59C9"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Paddock size and water availability (</w:t>
      </w:r>
      <w:r w:rsidR="003B1741" w:rsidRPr="00E6109B">
        <w:rPr>
          <w:rFonts w:eastAsia="Aptos"/>
          <w:kern w:val="2"/>
          <w:sz w:val="18"/>
          <w:szCs w:val="18"/>
          <w:lang w:val="en-AU"/>
          <w14:ligatures w14:val="standardContextual"/>
        </w:rPr>
        <w:t xml:space="preserve">in-paddock </w:t>
      </w:r>
      <w:r w:rsidRPr="00E6109B">
        <w:rPr>
          <w:rFonts w:eastAsia="Aptos"/>
          <w:kern w:val="2"/>
          <w:sz w:val="18"/>
          <w:szCs w:val="18"/>
          <w:lang w:val="en-AU"/>
          <w14:ligatures w14:val="standardContextual"/>
        </w:rPr>
        <w:t xml:space="preserve">grazing may not be an option) </w:t>
      </w:r>
    </w:p>
    <w:p w14:paraId="5CA1420D" w14:textId="190499AF"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Paddock weed burden</w:t>
      </w:r>
      <w:r w:rsidR="006E0CC7"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weed growth stage </w:t>
      </w:r>
      <w:r w:rsidR="006E0CC7" w:rsidRPr="00E6109B">
        <w:rPr>
          <w:rFonts w:eastAsia="Aptos"/>
          <w:kern w:val="2"/>
          <w:sz w:val="18"/>
          <w:szCs w:val="18"/>
          <w:lang w:val="en-AU"/>
          <w14:ligatures w14:val="standardContextual"/>
        </w:rPr>
        <w:t>and weed</w:t>
      </w:r>
      <w:r w:rsidR="00150A06" w:rsidRPr="00E6109B">
        <w:rPr>
          <w:rFonts w:eastAsia="Aptos"/>
          <w:kern w:val="2"/>
          <w:sz w:val="18"/>
          <w:szCs w:val="18"/>
          <w:lang w:val="en-AU"/>
          <w14:ligatures w14:val="standardContextual"/>
        </w:rPr>
        <w:t xml:space="preserve"> morphology (seed breakdown pattern) </w:t>
      </w:r>
      <w:r w:rsidR="006E0CC7" w:rsidRPr="00E6109B">
        <w:rPr>
          <w:rFonts w:eastAsia="Aptos"/>
          <w:kern w:val="2"/>
          <w:sz w:val="18"/>
          <w:szCs w:val="18"/>
          <w:lang w:val="en-AU"/>
          <w14:ligatures w14:val="standardContextual"/>
        </w:rPr>
        <w:t xml:space="preserve"> </w:t>
      </w:r>
    </w:p>
    <w:p w14:paraId="316FDFD5"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Herbicide treatment history and withholding periods</w:t>
      </w:r>
    </w:p>
    <w:p w14:paraId="2BEAC05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Access to fodder markets </w:t>
      </w:r>
    </w:p>
    <w:p w14:paraId="67E20B98"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Freight and handling costs</w:t>
      </w:r>
    </w:p>
    <w:p w14:paraId="65E3AA52"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Equipment and infrastructure availability </w:t>
      </w:r>
    </w:p>
    <w:p w14:paraId="0F9759F8" w14:textId="78497E1E" w:rsidR="008B0325" w:rsidRPr="00E6109B" w:rsidRDefault="008B0325"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Cost of nutrient replacement following export of biomass (especially K and S)</w:t>
      </w:r>
    </w:p>
    <w:p w14:paraId="145B0B12"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3B523E5F" w14:textId="0E89FF57" w:rsidR="00985B7E" w:rsidRPr="00E6109B" w:rsidRDefault="00AA0C84" w:rsidP="4241B039">
      <w:pPr>
        <w:widowControl/>
        <w:autoSpaceDE/>
        <w:autoSpaceDN/>
        <w:spacing w:after="160" w:line="259" w:lineRule="auto"/>
        <w:rPr>
          <w:rFonts w:eastAsia="Aptos"/>
          <w:sz w:val="18"/>
          <w:szCs w:val="18"/>
          <w:lang w:val="en-AU"/>
        </w:rPr>
      </w:pPr>
      <w:r w:rsidRPr="00E6109B">
        <w:rPr>
          <w:rFonts w:eastAsia="Aptos"/>
          <w:kern w:val="2"/>
          <w:sz w:val="18"/>
          <w:szCs w:val="18"/>
          <w:lang w:val="en-AU"/>
          <w14:ligatures w14:val="standardContextual"/>
        </w:rPr>
        <w:t xml:space="preserve">Forage is more commonly stored as hay compared to silage </w:t>
      </w:r>
      <w:r w:rsidR="00985B7E" w:rsidRPr="00E6109B">
        <w:rPr>
          <w:rFonts w:eastAsia="Aptos"/>
          <w:kern w:val="2"/>
          <w:sz w:val="18"/>
          <w:szCs w:val="18"/>
          <w:lang w:val="en-AU"/>
          <w14:ligatures w14:val="standardContextual"/>
        </w:rPr>
        <w:t xml:space="preserve">in the Australian grain belt due to factors including, less requirements for specialist machinery, lower infrastructure requirements (for pit silage), simplified feeding out strategies and greater portability </w:t>
      </w:r>
      <w:r w:rsidR="00985B7E" w:rsidRPr="00E6109B">
        <w:rPr>
          <w:rFonts w:eastAsia="Aptos"/>
          <w:kern w:val="2"/>
          <w:sz w:val="18"/>
          <w:szCs w:val="18"/>
          <w:lang w:val="en-AU"/>
          <w14:ligatures w14:val="standardContextual"/>
        </w:rPr>
        <w:fldChar w:fldCharType="begin"/>
      </w:r>
      <w:r w:rsidR="00985B7E" w:rsidRPr="00E6109B">
        <w:rPr>
          <w:rFonts w:eastAsia="Aptos"/>
          <w:kern w:val="2"/>
          <w:sz w:val="18"/>
          <w:szCs w:val="18"/>
          <w:lang w:val="en-AU"/>
          <w14:ligatures w14:val="standardContextual"/>
        </w:rPr>
        <w:instrText xml:space="preserve"> ADDIN EN.CITE &lt;EndNote&gt;&lt;Cite&gt;&lt;Author&gt;GRM International Pty Ltd&lt;/Author&gt;&lt;Year&gt;1997&lt;/Year&gt;&lt;RecNum&gt;324&lt;/RecNum&gt;&lt;DisplayText&gt;(GRM International Pty Ltd, 1997)&lt;/DisplayText&gt;&lt;record&gt;&lt;rec-number&gt;324&lt;/rec-number&gt;&lt;foreign-keys&gt;&lt;key app="EN" db-id="5zf09xzp72s098exaxn5szfafxep9fsv9af9" timestamp="1740111902"&gt;324&lt;/key&gt;&lt;/foreign-keys&gt;&lt;ref-type name="Report"&gt;27&lt;/ref-type&gt;&lt;contributors&gt;&lt;authors&gt;&lt;author&gt;GRM International Pty Ltd,&lt;/author&gt;&lt;/authors&gt;&lt;tertiary-authors&gt;&lt;author&gt;Meat and Livestock Australia&lt;/author&gt;&lt;/tertiary-authors&gt;&lt;/contributors&gt;&lt;titles&gt;&lt;title&gt;High ME Silages - as an alterantive feed source for the Australian Feedlot Industry &lt;/title&gt;&lt;/titles&gt;&lt;dates&gt;&lt;year&gt;1997&lt;/year&gt;&lt;/dates&gt;&lt;pub-location&gt;Online&lt;/pub-location&gt;&lt;urls&gt;&lt;related-urls&gt;&lt;url&gt;https://www.mla.com.au/contentassets/88f7ba1e3d4146f5a2be3bd3ab6df6bb/flot.103_final_report.pdf&lt;/url&gt;&lt;/related-urls&gt;&lt;/urls&gt;&lt;/record&gt;&lt;/Cite&gt;&lt;/EndNote&gt;</w:instrText>
      </w:r>
      <w:r w:rsidR="00985B7E" w:rsidRPr="00E6109B">
        <w:rPr>
          <w:rFonts w:eastAsia="Aptos"/>
          <w:kern w:val="2"/>
          <w:sz w:val="18"/>
          <w:szCs w:val="18"/>
          <w:lang w:val="en-AU"/>
          <w14:ligatures w14:val="standardContextual"/>
        </w:rPr>
        <w:fldChar w:fldCharType="separate"/>
      </w:r>
      <w:r w:rsidR="00985B7E" w:rsidRPr="00E6109B">
        <w:rPr>
          <w:rFonts w:eastAsia="Aptos"/>
          <w:noProof/>
          <w:kern w:val="2"/>
          <w:sz w:val="18"/>
          <w:szCs w:val="18"/>
          <w:lang w:val="en-AU"/>
          <w14:ligatures w14:val="standardContextual"/>
        </w:rPr>
        <w:t>(GRM International Pty Ltd, 1997)</w:t>
      </w:r>
      <w:r w:rsidR="00985B7E" w:rsidRPr="00E6109B">
        <w:rPr>
          <w:rFonts w:eastAsia="Aptos"/>
          <w:kern w:val="2"/>
          <w:sz w:val="18"/>
          <w:szCs w:val="18"/>
          <w:lang w:val="en-AU"/>
          <w14:ligatures w14:val="standardContextual"/>
        </w:rPr>
        <w:fldChar w:fldCharType="end"/>
      </w:r>
      <w:r w:rsidR="00985B7E" w:rsidRPr="00E6109B">
        <w:rPr>
          <w:rFonts w:eastAsia="Aptos"/>
          <w:kern w:val="2"/>
          <w:sz w:val="18"/>
          <w:szCs w:val="18"/>
          <w:lang w:val="en-AU"/>
          <w14:ligatures w14:val="standardContextual"/>
        </w:rPr>
        <w:t>.</w:t>
      </w:r>
      <w:r w:rsidR="00267CF4">
        <w:rPr>
          <w:rFonts w:eastAsia="Aptos"/>
          <w:kern w:val="2"/>
          <w:sz w:val="18"/>
          <w:szCs w:val="18"/>
          <w:lang w:val="en-AU"/>
          <w14:ligatures w14:val="standardContextual"/>
        </w:rPr>
        <w:t xml:space="preserve"> </w:t>
      </w:r>
      <w:r w:rsidR="00985B7E" w:rsidRPr="00E6109B">
        <w:rPr>
          <w:rFonts w:eastAsia="Aptos"/>
          <w:kern w:val="2"/>
          <w:sz w:val="18"/>
          <w:szCs w:val="18"/>
          <w:lang w:val="en-AU"/>
          <w14:ligatures w14:val="standardContextual"/>
        </w:rPr>
        <w:t xml:space="preserve">However, silage does present the opportunity for greater forage quality, longer-term storage potential, a lower rate of spoilage, </w:t>
      </w:r>
      <w:r w:rsidR="003203B6" w:rsidRPr="00E6109B">
        <w:rPr>
          <w:rFonts w:eastAsia="Aptos"/>
          <w:kern w:val="2"/>
          <w:sz w:val="18"/>
          <w:szCs w:val="18"/>
          <w:lang w:val="en-AU"/>
          <w14:ligatures w14:val="standardContextual"/>
        </w:rPr>
        <w:t>speed of</w:t>
      </w:r>
      <w:r w:rsidR="00985B7E" w:rsidRPr="00E6109B">
        <w:rPr>
          <w:rFonts w:eastAsia="Aptos"/>
          <w:kern w:val="2"/>
          <w:sz w:val="18"/>
          <w:szCs w:val="18"/>
          <w:lang w:val="en-AU"/>
          <w14:ligatures w14:val="standardContextual"/>
        </w:rPr>
        <w:t xml:space="preserve"> production (less wilting/drying time), and potentially lower costs per MJ ME </w:t>
      </w:r>
      <w:r w:rsidR="00985B7E" w:rsidRPr="00E6109B">
        <w:rPr>
          <w:rFonts w:eastAsia="Aptos"/>
          <w:kern w:val="2"/>
          <w:sz w:val="18"/>
          <w:szCs w:val="18"/>
          <w:lang w:val="en-AU"/>
          <w14:ligatures w14:val="standardContextual"/>
        </w:rPr>
        <w:fldChar w:fldCharType="begin"/>
      </w:r>
      <w:r w:rsidR="00985B7E" w:rsidRPr="00E6109B">
        <w:rPr>
          <w:rFonts w:eastAsia="Aptos"/>
          <w:kern w:val="2"/>
          <w:sz w:val="18"/>
          <w:szCs w:val="18"/>
          <w:lang w:val="en-AU"/>
          <w14:ligatures w14:val="standardContextual"/>
        </w:rPr>
        <w:instrText xml:space="preserve"> ADDIN EN.CITE &lt;EndNote&gt;&lt;Cite&gt;&lt;Author&gt;GRM International Pty Ltd&lt;/Author&gt;&lt;Year&gt;1997&lt;/Year&gt;&lt;RecNum&gt;324&lt;/RecNum&gt;&lt;DisplayText&gt;(GRM International Pty Ltd, 1997; Grower Group Alliance, 2024)&lt;/DisplayText&gt;&lt;record&gt;&lt;rec-number&gt;324&lt;/rec-number&gt;&lt;foreign-keys&gt;&lt;key app="EN" db-id="5zf09xzp72s098exaxn5szfafxep9fsv9af9" timestamp="1740111902"&gt;324&lt;/key&gt;&lt;/foreign-keys&gt;&lt;ref-type name="Report"&gt;27&lt;/ref-type&gt;&lt;contributors&gt;&lt;authors&gt;&lt;author&gt;GRM International Pty Ltd,&lt;/author&gt;&lt;/authors&gt;&lt;tertiary-authors&gt;&lt;author&gt;Meat and Livestock Australia&lt;/author&gt;&lt;/tertiary-authors&gt;&lt;/contributors&gt;&lt;titles&gt;&lt;title&gt;High ME Silages - as an alterantive feed source for the Australian Feedlot Industry &lt;/title&gt;&lt;/titles&gt;&lt;dates&gt;&lt;year&gt;1997&lt;/year&gt;&lt;/dates&gt;&lt;pub-location&gt;Online&lt;/pub-location&gt;&lt;urls&gt;&lt;related-urls&gt;&lt;url&gt;https://www.mla.com.au/contentassets/88f7ba1e3d4146f5a2be3bd3ab6df6bb/flot.103_final_report.pdf&lt;/url&gt;&lt;/related-urls&gt;&lt;/urls&gt;&lt;/record&gt;&lt;/Cite&gt;&lt;Cite&gt;&lt;Author&gt;Grower Group Alliance&lt;/Author&gt;&lt;Year&gt;2024&lt;/Year&gt;&lt;RecNum&gt;325&lt;/RecNum&gt;&lt;record&gt;&lt;rec-number&gt;325&lt;/rec-number&gt;&lt;foreign-keys&gt;&lt;key app="EN" db-id="5zf09xzp72s098exaxn5szfafxep9fsv9af9" timestamp="1740112163"&gt;325&lt;/key&gt;&lt;/foreign-keys&gt;&lt;ref-type name="Podcast"&gt;62&lt;/ref-type&gt;&lt;contributors&gt;&lt;authors&gt;&lt;author&gt;Grower Group Alliance,&lt;/author&gt;&lt;/authors&gt;&lt;secondary-authors&gt;&lt;author&gt;Julianne Hill&lt;/author&gt;&lt;/secondary-authors&gt;&lt;/contributors&gt;&lt;titles&gt;&lt;title&gt;Silage, is it all it&amp;apos;s wrapped up to be? &lt;/title&gt;&lt;tertiary-title&gt;Dry Season Resources: Episode 11&lt;/tertiary-title&gt;&lt;/titles&gt;&lt;section&gt;25.27&lt;/section&gt;&lt;dates&gt;&lt;year&gt;2024&lt;/year&gt;&lt;/dates&gt;&lt;pub-location&gt;Online &lt;/pub-location&gt;&lt;urls&gt;&lt;related-urls&gt;&lt;url&gt;https://hub.gga.org.au/podcast/silage-is-it-all-its-wrapped-up-to-be/&lt;/url&gt;&lt;/related-urls&gt;&lt;/urls&gt;&lt;/record&gt;&lt;/Cite&gt;&lt;/EndNote&gt;</w:instrText>
      </w:r>
      <w:r w:rsidR="00985B7E" w:rsidRPr="00E6109B">
        <w:rPr>
          <w:rFonts w:eastAsia="Aptos"/>
          <w:kern w:val="2"/>
          <w:sz w:val="18"/>
          <w:szCs w:val="18"/>
          <w:lang w:val="en-AU"/>
          <w14:ligatures w14:val="standardContextual"/>
        </w:rPr>
        <w:fldChar w:fldCharType="separate"/>
      </w:r>
      <w:r w:rsidR="00985B7E" w:rsidRPr="00E6109B">
        <w:rPr>
          <w:rFonts w:eastAsia="Aptos"/>
          <w:noProof/>
          <w:kern w:val="2"/>
          <w:sz w:val="18"/>
          <w:szCs w:val="18"/>
          <w:lang w:val="en-AU"/>
          <w14:ligatures w14:val="standardContextual"/>
        </w:rPr>
        <w:t>(GRM International Pty Ltd, 1997; Grower Group Alliance, 2024)</w:t>
      </w:r>
      <w:r w:rsidR="00985B7E" w:rsidRPr="00E6109B">
        <w:rPr>
          <w:rFonts w:eastAsia="Aptos"/>
          <w:kern w:val="2"/>
          <w:sz w:val="18"/>
          <w:szCs w:val="18"/>
          <w:lang w:val="en-AU"/>
          <w14:ligatures w14:val="standardContextual"/>
        </w:rPr>
        <w:fldChar w:fldCharType="end"/>
      </w:r>
      <w:r w:rsidR="00985B7E" w:rsidRPr="00E6109B">
        <w:rPr>
          <w:rFonts w:eastAsia="Aptos"/>
          <w:kern w:val="2"/>
          <w:sz w:val="18"/>
          <w:szCs w:val="18"/>
          <w:lang w:val="en-AU"/>
          <w14:ligatures w14:val="standardContextual"/>
        </w:rPr>
        <w:t xml:space="preserve">. </w:t>
      </w:r>
    </w:p>
    <w:p w14:paraId="1C97F6AD" w14:textId="17319D71" w:rsidR="00985B7E" w:rsidRPr="00E6109B" w:rsidRDefault="5E556102" w:rsidP="00985B7E">
      <w:pPr>
        <w:widowControl/>
        <w:autoSpaceDE/>
        <w:autoSpaceDN/>
        <w:spacing w:after="160" w:line="259" w:lineRule="auto"/>
        <w:rPr>
          <w:rFonts w:eastAsia="Aptos"/>
          <w:kern w:val="2"/>
          <w:sz w:val="18"/>
          <w:szCs w:val="18"/>
          <w:lang w:val="en-AU"/>
          <w14:ligatures w14:val="standardContextual"/>
        </w:rPr>
      </w:pPr>
      <w:r w:rsidRPr="40A7629B">
        <w:rPr>
          <w:rFonts w:eastAsia="Aptos"/>
          <w:sz w:val="18"/>
          <w:szCs w:val="18"/>
          <w:lang w:val="en-AU"/>
        </w:rPr>
        <w:t>C</w:t>
      </w:r>
      <w:r w:rsidR="0000002D" w:rsidRPr="40A7629B">
        <w:rPr>
          <w:rFonts w:eastAsia="Aptos"/>
          <w:sz w:val="18"/>
          <w:szCs w:val="18"/>
          <w:lang w:val="en-AU"/>
        </w:rPr>
        <w:t>onserved</w:t>
      </w:r>
      <w:r w:rsidR="0000002D" w:rsidRPr="7A746EF1">
        <w:rPr>
          <w:rFonts w:eastAsia="Aptos"/>
          <w:sz w:val="18"/>
          <w:szCs w:val="18"/>
          <w:lang w:val="en-AU"/>
        </w:rPr>
        <w:t xml:space="preserve"> forage </w:t>
      </w:r>
      <w:r w:rsidR="00985B7E" w:rsidRPr="00E6109B">
        <w:rPr>
          <w:rFonts w:eastAsia="Aptos"/>
          <w:kern w:val="2"/>
          <w:sz w:val="18"/>
          <w:szCs w:val="18"/>
          <w:lang w:val="en-AU"/>
          <w14:ligatures w14:val="standardContextual"/>
        </w:rPr>
        <w:t xml:space="preserve">may also present a tactical opportunity for growers who can sow a crop and legume concurrently and </w:t>
      </w:r>
      <w:proofErr w:type="gramStart"/>
      <w:r w:rsidR="00985B7E" w:rsidRPr="00E6109B">
        <w:rPr>
          <w:rFonts w:eastAsia="Aptos"/>
          <w:kern w:val="2"/>
          <w:sz w:val="18"/>
          <w:szCs w:val="18"/>
          <w:lang w:val="en-AU"/>
          <w14:ligatures w14:val="standardContextual"/>
        </w:rPr>
        <w:t>make a decision</w:t>
      </w:r>
      <w:proofErr w:type="gramEnd"/>
      <w:r w:rsidR="00985B7E" w:rsidRPr="00E6109B">
        <w:rPr>
          <w:rFonts w:eastAsia="Aptos"/>
          <w:kern w:val="2"/>
          <w:sz w:val="18"/>
          <w:szCs w:val="18"/>
          <w:lang w:val="en-AU"/>
          <w14:ligatures w14:val="standardContextual"/>
        </w:rPr>
        <w:t xml:space="preserve"> whether to a) spray out the legume (capitalising on the nitrogen fixed) and take the crop to harvest or b) conserve the crop for forage if the seasonal indicators suggest a poor crop yield.   </w:t>
      </w:r>
    </w:p>
    <w:p w14:paraId="3577C66A" w14:textId="3CC1F522" w:rsidR="0000597E" w:rsidRPr="00E6109B" w:rsidRDefault="00A2416C"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If the producer aims to generate the largest return possible </w:t>
      </w:r>
      <w:r w:rsidR="00EB390A" w:rsidRPr="00E6109B">
        <w:rPr>
          <w:rFonts w:eastAsia="Aptos"/>
          <w:kern w:val="2"/>
          <w:sz w:val="18"/>
          <w:szCs w:val="18"/>
          <w:lang w:val="en-AU"/>
          <w14:ligatures w14:val="standardContextual"/>
        </w:rPr>
        <w:t>from a crop</w:t>
      </w:r>
      <w:r w:rsidR="38306AC0" w:rsidRPr="00E6109B">
        <w:rPr>
          <w:rFonts w:eastAsia="Aptos"/>
          <w:kern w:val="2"/>
          <w:sz w:val="18"/>
          <w:szCs w:val="18"/>
          <w:lang w:val="en-AU"/>
          <w14:ligatures w14:val="standardContextual"/>
        </w:rPr>
        <w:t>,</w:t>
      </w:r>
      <w:r w:rsidR="2EF73CD4"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forage conservation </w:t>
      </w:r>
      <w:r w:rsidR="00210546" w:rsidRPr="00E6109B">
        <w:rPr>
          <w:rFonts w:eastAsia="Aptos"/>
          <w:kern w:val="2"/>
          <w:sz w:val="18"/>
          <w:szCs w:val="18"/>
          <w:lang w:val="en-AU"/>
          <w14:ligatures w14:val="standardContextual"/>
        </w:rPr>
        <w:t>may be the best</w:t>
      </w:r>
      <w:r w:rsidR="00DB34A9" w:rsidRPr="00E6109B">
        <w:rPr>
          <w:rFonts w:eastAsia="Aptos"/>
          <w:kern w:val="2"/>
          <w:sz w:val="18"/>
          <w:szCs w:val="18"/>
          <w:lang w:val="en-AU"/>
          <w14:ligatures w14:val="standardContextual"/>
        </w:rPr>
        <w:t xml:space="preserve"> option when </w:t>
      </w:r>
      <w:r w:rsidR="2EF73CD4" w:rsidRPr="00E6109B">
        <w:rPr>
          <w:rFonts w:eastAsia="Aptos"/>
          <w:kern w:val="2"/>
          <w:sz w:val="18"/>
          <w:szCs w:val="18"/>
          <w:lang w:val="en-AU"/>
          <w14:ligatures w14:val="standardContextual"/>
        </w:rPr>
        <w:t>yield estimates are low</w:t>
      </w:r>
      <w:r w:rsidR="002C53AD" w:rsidRPr="00E6109B">
        <w:rPr>
          <w:rFonts w:eastAsia="Aptos"/>
          <w:kern w:val="2"/>
          <w:sz w:val="18"/>
          <w:szCs w:val="18"/>
          <w:lang w:val="en-AU"/>
          <w14:ligatures w14:val="standardContextual"/>
        </w:rPr>
        <w:t xml:space="preserve"> and forage quality and biomass are high</w:t>
      </w:r>
      <w:r w:rsidR="2EF73CD4" w:rsidRPr="00E6109B">
        <w:rPr>
          <w:rFonts w:eastAsia="Aptos"/>
          <w:kern w:val="2"/>
          <w:sz w:val="18"/>
          <w:szCs w:val="18"/>
          <w:lang w:val="en-AU"/>
          <w14:ligatures w14:val="standardContextual"/>
        </w:rPr>
        <w:t xml:space="preserve">. </w:t>
      </w:r>
    </w:p>
    <w:p w14:paraId="0CDEFFAD"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lastRenderedPageBreak/>
        <w:t xml:space="preserve">Scope </w:t>
      </w:r>
    </w:p>
    <w:p w14:paraId="52C28B31" w14:textId="35C94B9C" w:rsidR="00DE40B5"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This call is for</w:t>
      </w:r>
      <w:r w:rsidR="004F48B5" w:rsidRPr="00E6109B">
        <w:rPr>
          <w:rFonts w:eastAsia="Aptos"/>
          <w:kern w:val="2"/>
          <w:sz w:val="18"/>
          <w:szCs w:val="18"/>
          <w:lang w:val="en-AU"/>
          <w14:ligatures w14:val="standardContextual"/>
        </w:rPr>
        <w:t>:</w:t>
      </w:r>
      <w:r w:rsidRPr="00E6109B">
        <w:rPr>
          <w:rFonts w:eastAsia="Aptos"/>
          <w:kern w:val="2"/>
          <w:sz w:val="18"/>
          <w:szCs w:val="18"/>
          <w:lang w:val="en-AU"/>
          <w14:ligatures w14:val="standardContextual"/>
        </w:rPr>
        <w:t xml:space="preserve"> </w:t>
      </w:r>
    </w:p>
    <w:p w14:paraId="3B3DAE3E" w14:textId="363E4D4C" w:rsidR="00DE40B5" w:rsidRPr="00E6109B" w:rsidRDefault="00985B7E" w:rsidP="00DE40B5">
      <w:pPr>
        <w:pStyle w:val="ListParagraph"/>
        <w:widowControl/>
        <w:numPr>
          <w:ilvl w:val="0"/>
          <w:numId w:val="27"/>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u w:val="single"/>
          <w:lang w:val="en-AU"/>
          <w14:ligatures w14:val="standardContextual"/>
        </w:rPr>
        <w:t xml:space="preserve">preliminary proposals </w:t>
      </w:r>
      <w:r w:rsidR="00DE40B5" w:rsidRPr="00E6109B">
        <w:rPr>
          <w:rFonts w:eastAsia="Aptos"/>
          <w:sz w:val="18"/>
          <w:szCs w:val="18"/>
          <w:lang w:val="en-AU"/>
        </w:rPr>
        <w:t xml:space="preserve">to be </w:t>
      </w:r>
      <w:r w:rsidR="00DE40B5" w:rsidRPr="00E6109B">
        <w:rPr>
          <w:rFonts w:eastAsia="Aptos"/>
          <w:kern w:val="2"/>
          <w:sz w:val="18"/>
          <w:szCs w:val="18"/>
          <w:lang w:val="en-AU"/>
          <w14:ligatures w14:val="standardContextual"/>
        </w:rPr>
        <w:t>submitte</w:t>
      </w:r>
      <w:r w:rsidR="00DE40B5" w:rsidRPr="00E6109B">
        <w:rPr>
          <w:rFonts w:eastAsia="Aptos"/>
          <w:sz w:val="18"/>
          <w:szCs w:val="18"/>
          <w:lang w:val="en-AU"/>
        </w:rPr>
        <w:t>d</w:t>
      </w:r>
      <w:r w:rsidR="00DE40B5" w:rsidRPr="00E6109B">
        <w:rPr>
          <w:rFonts w:eastAsia="Aptos"/>
          <w:kern w:val="2"/>
          <w:sz w:val="18"/>
          <w:szCs w:val="18"/>
          <w:lang w:val="en-AU"/>
          <w14:ligatures w14:val="standardContextual"/>
        </w:rPr>
        <w:t xml:space="preserve"> by </w:t>
      </w:r>
      <w:r w:rsidR="00F84486" w:rsidRPr="00E6109B">
        <w:rPr>
          <w:rFonts w:eastAsia="Aptos"/>
          <w:kern w:val="2"/>
          <w:sz w:val="18"/>
          <w:szCs w:val="18"/>
          <w:lang w:val="en-AU"/>
          <w14:ligatures w14:val="standardContextual"/>
        </w:rPr>
        <w:t xml:space="preserve">potential </w:t>
      </w:r>
      <w:r w:rsidR="00DE40B5" w:rsidRPr="00E6109B">
        <w:rPr>
          <w:rFonts w:eastAsia="Aptos"/>
          <w:kern w:val="2"/>
          <w:sz w:val="18"/>
          <w:szCs w:val="18"/>
          <w:lang w:val="en-AU"/>
          <w14:ligatures w14:val="standardContextual"/>
        </w:rPr>
        <w:t>lead organisations</w:t>
      </w:r>
    </w:p>
    <w:p w14:paraId="21BC8AE7" w14:textId="070E9718" w:rsidR="00984ED3" w:rsidRPr="00E6109B" w:rsidRDefault="00985B7E" w:rsidP="00DE40B5">
      <w:pPr>
        <w:pStyle w:val="ListParagraph"/>
        <w:widowControl/>
        <w:numPr>
          <w:ilvl w:val="0"/>
          <w:numId w:val="27"/>
        </w:numPr>
        <w:autoSpaceDE/>
        <w:autoSpaceDN/>
        <w:spacing w:after="160" w:line="259" w:lineRule="auto"/>
        <w:rPr>
          <w:rFonts w:eastAsia="Aptos"/>
          <w:kern w:val="2"/>
          <w:sz w:val="18"/>
          <w:szCs w:val="18"/>
          <w:lang w:val="en-AU"/>
          <w14:ligatures w14:val="standardContextual"/>
        </w:rPr>
      </w:pPr>
      <w:r w:rsidRPr="00E6109B">
        <w:rPr>
          <w:rFonts w:eastAsia="Aptos"/>
          <w:sz w:val="18"/>
          <w:szCs w:val="18"/>
          <w:u w:val="single"/>
          <w:lang w:val="en-AU"/>
        </w:rPr>
        <w:t>expressions of interest</w:t>
      </w:r>
      <w:r w:rsidRPr="00E6109B">
        <w:rPr>
          <w:rFonts w:eastAsia="Aptos"/>
          <w:sz w:val="18"/>
          <w:szCs w:val="18"/>
          <w:lang w:val="en-AU"/>
        </w:rPr>
        <w:t xml:space="preserve"> </w:t>
      </w:r>
      <w:r w:rsidR="00DE40B5" w:rsidRPr="00E6109B">
        <w:rPr>
          <w:rFonts w:eastAsia="Aptos"/>
          <w:sz w:val="18"/>
          <w:szCs w:val="18"/>
          <w:lang w:val="en-AU"/>
        </w:rPr>
        <w:t xml:space="preserve">to be submitted </w:t>
      </w:r>
      <w:r w:rsidR="00F84486" w:rsidRPr="00E6109B">
        <w:rPr>
          <w:rFonts w:eastAsia="Aptos"/>
          <w:sz w:val="18"/>
          <w:szCs w:val="18"/>
          <w:lang w:val="en-AU"/>
        </w:rPr>
        <w:t>by potential</w:t>
      </w:r>
      <w:r w:rsidR="003A3A81" w:rsidRPr="00E6109B">
        <w:rPr>
          <w:rFonts w:eastAsia="Aptos"/>
          <w:sz w:val="18"/>
          <w:szCs w:val="18"/>
          <w:lang w:val="en-AU"/>
        </w:rPr>
        <w:t xml:space="preserve"> participant organisations</w:t>
      </w:r>
    </w:p>
    <w:p w14:paraId="0AFEDBF1" w14:textId="22805EB1" w:rsidR="00421F22" w:rsidRPr="00E6109B" w:rsidRDefault="00985B7E" w:rsidP="00F84486">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for MDC projects to conduct the activities below.</w:t>
      </w:r>
    </w:p>
    <w:p w14:paraId="6203457F" w14:textId="194A78FD"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w:t>
      </w:r>
      <w:r w:rsidR="66C3E5AD" w:rsidRPr="00E6109B">
        <w:rPr>
          <w:rFonts w:eastAsia="Aptos"/>
          <w:kern w:val="2"/>
          <w:sz w:val="18"/>
          <w:szCs w:val="18"/>
          <w:lang w:val="en-AU"/>
          <w14:ligatures w14:val="standardContextual"/>
        </w:rPr>
        <w:t>is investment call is seeking proposals with</w:t>
      </w:r>
      <w:r w:rsidRPr="00E6109B">
        <w:rPr>
          <w:rFonts w:eastAsia="Aptos"/>
          <w:kern w:val="2"/>
          <w:sz w:val="18"/>
          <w:szCs w:val="18"/>
          <w:lang w:val="en-AU"/>
          <w14:ligatures w14:val="standardContextual"/>
        </w:rPr>
        <w:t xml:space="preserve"> widespread applicability across the mixed farming zones</w:t>
      </w:r>
      <w:r w:rsidR="25E06771"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covering a range of rainfall environments </w:t>
      </w:r>
      <w:r w:rsidR="00791C0E" w:rsidRPr="00E6109B">
        <w:rPr>
          <w:rFonts w:eastAsia="Aptos"/>
          <w:kern w:val="2"/>
          <w:sz w:val="18"/>
          <w:szCs w:val="18"/>
          <w:lang w:val="en-AU"/>
          <w14:ligatures w14:val="standardContextual"/>
        </w:rPr>
        <w:t>(including lower rainfall areas)</w:t>
      </w:r>
      <w:r w:rsidR="4CCD7FE4" w:rsidRPr="00E6109B">
        <w:rPr>
          <w:rFonts w:eastAsia="Aptos"/>
          <w:kern w:val="2"/>
          <w:sz w:val="18"/>
          <w:szCs w:val="18"/>
          <w:lang w:val="en-AU"/>
          <w14:ligatures w14:val="standardContextual"/>
        </w:rPr>
        <w:t xml:space="preserve">. While the call aims to make </w:t>
      </w:r>
      <w:r w:rsidR="6277F4C8" w:rsidRPr="00E6109B">
        <w:rPr>
          <w:rFonts w:eastAsia="Aptos"/>
          <w:kern w:val="2"/>
          <w:sz w:val="18"/>
          <w:szCs w:val="18"/>
          <w:lang w:val="en-AU"/>
          <w14:ligatures w14:val="standardContextual"/>
        </w:rPr>
        <w:t>investments nationally, individual proposals are welcome to target specific regions. One or more projects may be funded.</w:t>
      </w:r>
      <w:r w:rsidR="000406AE">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The call is open to individual</w:t>
      </w:r>
      <w:r w:rsidR="00AB7D84" w:rsidRPr="00E6109B">
        <w:rPr>
          <w:rFonts w:eastAsia="Aptos"/>
          <w:kern w:val="2"/>
          <w:sz w:val="18"/>
          <w:szCs w:val="18"/>
          <w:lang w:val="en-AU"/>
          <w14:ligatures w14:val="standardContextual"/>
        </w:rPr>
        <w:t xml:space="preserve"> organisations</w:t>
      </w:r>
      <w:r w:rsidRPr="00E6109B">
        <w:rPr>
          <w:rFonts w:eastAsia="Aptos"/>
          <w:kern w:val="2"/>
          <w:sz w:val="18"/>
          <w:szCs w:val="18"/>
          <w:lang w:val="en-AU"/>
          <w14:ligatures w14:val="standardContextual"/>
        </w:rPr>
        <w:t xml:space="preserve"> or consortia style applications. </w:t>
      </w:r>
    </w:p>
    <w:p w14:paraId="0AFFAEE0"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t>Proposed activities</w:t>
      </w:r>
    </w:p>
    <w:p w14:paraId="0DE47A1B"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 proposed projects should focus on:</w:t>
      </w:r>
    </w:p>
    <w:p w14:paraId="112D102A" w14:textId="202AB53E"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Phase one:</w:t>
      </w:r>
      <w:r w:rsidRPr="00E6109B">
        <w:rPr>
          <w:rFonts w:eastAsia="Aptos"/>
          <w:kern w:val="2"/>
          <w:sz w:val="18"/>
          <w:szCs w:val="18"/>
          <w:lang w:val="en-AU"/>
          <w14:ligatures w14:val="standardContextual"/>
        </w:rPr>
        <w:t xml:space="preserve"> A </w:t>
      </w:r>
      <w:r w:rsidR="469055E1" w:rsidRPr="00E6109B">
        <w:rPr>
          <w:rFonts w:eastAsia="Aptos"/>
          <w:kern w:val="2"/>
          <w:sz w:val="18"/>
          <w:szCs w:val="18"/>
          <w:lang w:val="en-AU"/>
          <w14:ligatures w14:val="standardContextual"/>
        </w:rPr>
        <w:t xml:space="preserve">systematic </w:t>
      </w:r>
      <w:r w:rsidRPr="00E6109B">
        <w:rPr>
          <w:rFonts w:eastAsia="Aptos"/>
          <w:kern w:val="2"/>
          <w:sz w:val="18"/>
          <w:szCs w:val="18"/>
          <w:lang w:val="en-AU"/>
          <w14:ligatures w14:val="standardContextual"/>
        </w:rPr>
        <w:t xml:space="preserve">review of the </w:t>
      </w:r>
      <w:proofErr w:type="gramStart"/>
      <w:r w:rsidRPr="00E6109B">
        <w:rPr>
          <w:rFonts w:eastAsia="Aptos"/>
          <w:kern w:val="2"/>
          <w:sz w:val="18"/>
          <w:szCs w:val="18"/>
          <w:lang w:val="en-AU"/>
          <w14:ligatures w14:val="standardContextual"/>
        </w:rPr>
        <w:t>current status</w:t>
      </w:r>
      <w:proofErr w:type="gramEnd"/>
      <w:r w:rsidRPr="00E6109B">
        <w:rPr>
          <w:rFonts w:eastAsia="Aptos"/>
          <w:kern w:val="2"/>
          <w:sz w:val="18"/>
          <w:szCs w:val="18"/>
          <w:lang w:val="en-AU"/>
          <w14:ligatures w14:val="standardContextual"/>
        </w:rPr>
        <w:t xml:space="preserve"> of failing/failed crop management and </w:t>
      </w:r>
      <w:r w:rsidR="0549F435" w:rsidRPr="00E6109B">
        <w:rPr>
          <w:rFonts w:eastAsia="Aptos"/>
          <w:kern w:val="2"/>
          <w:sz w:val="18"/>
          <w:szCs w:val="18"/>
          <w:lang w:val="en-AU"/>
          <w14:ligatures w14:val="standardContextual"/>
        </w:rPr>
        <w:t>future</w:t>
      </w:r>
      <w:r w:rsidRPr="00E6109B">
        <w:rPr>
          <w:rFonts w:eastAsia="Aptos"/>
          <w:kern w:val="2"/>
          <w:sz w:val="18"/>
          <w:szCs w:val="18"/>
          <w:lang w:val="en-AU"/>
          <w14:ligatures w14:val="standardContextual"/>
        </w:rPr>
        <w:t xml:space="preserve"> opportunities. </w:t>
      </w:r>
    </w:p>
    <w:p w14:paraId="08D1D123"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This should include: </w:t>
      </w:r>
    </w:p>
    <w:p w14:paraId="067CF3A4" w14:textId="77777777" w:rsidR="005E0792" w:rsidRPr="00E6109B" w:rsidRDefault="00B15AED"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Broad</w:t>
      </w:r>
      <w:r w:rsidR="00422B15" w:rsidRPr="00E6109B">
        <w:rPr>
          <w:rFonts w:eastAsia="Aptos"/>
          <w:kern w:val="2"/>
          <w:sz w:val="18"/>
          <w:szCs w:val="18"/>
          <w:lang w:val="en-AU"/>
          <w14:ligatures w14:val="standardContextual"/>
        </w:rPr>
        <w:t xml:space="preserve"> s</w:t>
      </w:r>
      <w:r w:rsidR="00985B7E" w:rsidRPr="00E6109B">
        <w:rPr>
          <w:rFonts w:eastAsia="Aptos"/>
          <w:kern w:val="2"/>
          <w:sz w:val="18"/>
          <w:szCs w:val="18"/>
          <w:lang w:val="en-AU"/>
          <w14:ligatures w14:val="standardContextual"/>
        </w:rPr>
        <w:t>urvey of</w:t>
      </w:r>
      <w:r w:rsidR="005E0792" w:rsidRPr="00E6109B">
        <w:rPr>
          <w:rFonts w:eastAsia="Aptos"/>
          <w:kern w:val="2"/>
          <w:sz w:val="18"/>
          <w:szCs w:val="18"/>
          <w:lang w:val="en-AU"/>
          <w14:ligatures w14:val="standardContextual"/>
        </w:rPr>
        <w:t>:</w:t>
      </w:r>
    </w:p>
    <w:p w14:paraId="7450CFD4" w14:textId="2CF979F2" w:rsidR="00985B7E" w:rsidRPr="00E6109B" w:rsidRDefault="00985B7E" w:rsidP="00FE4C59">
      <w:pPr>
        <w:widowControl/>
        <w:numPr>
          <w:ilvl w:val="1"/>
          <w:numId w:val="15"/>
        </w:numPr>
        <w:autoSpaceDE/>
        <w:autoSpaceDN/>
        <w:spacing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practices employed to manage failed/failing crops</w:t>
      </w:r>
      <w:r w:rsidR="00956314" w:rsidRPr="00E6109B">
        <w:rPr>
          <w:rFonts w:eastAsia="Aptos"/>
          <w:kern w:val="2"/>
          <w:sz w:val="18"/>
          <w:szCs w:val="18"/>
          <w:lang w:val="en-AU"/>
          <w14:ligatures w14:val="standardContextual"/>
        </w:rPr>
        <w:t xml:space="preserve"> in different </w:t>
      </w:r>
      <w:r w:rsidR="00A0475F" w:rsidRPr="00E6109B">
        <w:rPr>
          <w:rFonts w:eastAsia="Aptos"/>
          <w:kern w:val="2"/>
          <w:sz w:val="18"/>
          <w:szCs w:val="18"/>
          <w:lang w:val="en-AU"/>
          <w14:ligatures w14:val="standardContextual"/>
        </w:rPr>
        <w:t>regions</w:t>
      </w:r>
      <w:r w:rsidR="00956314" w:rsidRPr="00E6109B">
        <w:rPr>
          <w:rFonts w:eastAsia="Aptos"/>
          <w:kern w:val="2"/>
          <w:sz w:val="18"/>
          <w:szCs w:val="18"/>
          <w:lang w:val="en-AU"/>
          <w14:ligatures w14:val="standardContextual"/>
        </w:rPr>
        <w:t xml:space="preserve"> </w:t>
      </w:r>
    </w:p>
    <w:p w14:paraId="51785A11" w14:textId="5D35D7A3" w:rsidR="005E0792" w:rsidRPr="00E6109B" w:rsidRDefault="005E0792" w:rsidP="00FE4C59">
      <w:pPr>
        <w:pStyle w:val="ListParagraph"/>
        <w:widowControl/>
        <w:numPr>
          <w:ilvl w:val="1"/>
          <w:numId w:val="15"/>
        </w:numPr>
        <w:autoSpaceDE/>
        <w:autoSpaceDN/>
        <w:spacing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barriers to adoption of given strategies. This should include engaging producers in the relevant regions </w:t>
      </w:r>
    </w:p>
    <w:p w14:paraId="22F895F5" w14:textId="1F8EA321" w:rsidR="0058623D" w:rsidRPr="00E6109B" w:rsidRDefault="00985B7E"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 </w:t>
      </w:r>
      <w:r w:rsidR="05AAACF0" w:rsidRPr="00E6109B">
        <w:rPr>
          <w:rFonts w:eastAsia="Aptos"/>
          <w:sz w:val="18"/>
          <w:szCs w:val="18"/>
          <w:lang w:val="en-AU"/>
        </w:rPr>
        <w:t>systematic</w:t>
      </w:r>
      <w:r w:rsidR="00E7077B" w:rsidRPr="00E6109B">
        <w:rPr>
          <w:rFonts w:eastAsia="Aptos"/>
          <w:sz w:val="18"/>
          <w:szCs w:val="18"/>
          <w:lang w:val="en-AU"/>
        </w:rPr>
        <w:t xml:space="preserve"> </w:t>
      </w:r>
      <w:r w:rsidR="00793E00" w:rsidRPr="00E6109B">
        <w:rPr>
          <w:rFonts w:eastAsia="Aptos"/>
          <w:sz w:val="18"/>
          <w:szCs w:val="18"/>
          <w:lang w:val="en-AU"/>
        </w:rPr>
        <w:t xml:space="preserve">review </w:t>
      </w:r>
      <w:r w:rsidR="007C069F" w:rsidRPr="00E6109B">
        <w:rPr>
          <w:rFonts w:eastAsia="Aptos"/>
          <w:sz w:val="18"/>
          <w:szCs w:val="18"/>
          <w:lang w:val="en-AU"/>
        </w:rPr>
        <w:t xml:space="preserve">summarising </w:t>
      </w:r>
      <w:r w:rsidR="004A691C" w:rsidRPr="00E6109B">
        <w:rPr>
          <w:rFonts w:eastAsia="Aptos"/>
          <w:sz w:val="18"/>
          <w:szCs w:val="18"/>
          <w:lang w:val="en-AU"/>
        </w:rPr>
        <w:t xml:space="preserve">the </w:t>
      </w:r>
      <w:r w:rsidRPr="00E6109B">
        <w:rPr>
          <w:rFonts w:eastAsia="Aptos"/>
          <w:sz w:val="18"/>
          <w:szCs w:val="18"/>
          <w:lang w:val="en-AU"/>
        </w:rPr>
        <w:t xml:space="preserve">economic effectiveness of </w:t>
      </w:r>
      <w:r w:rsidRPr="00E6109B">
        <w:rPr>
          <w:rFonts w:eastAsia="Aptos"/>
          <w:kern w:val="2"/>
          <w:sz w:val="18"/>
          <w:szCs w:val="18"/>
          <w:lang w:val="en-AU"/>
          <w14:ligatures w14:val="standardContextual"/>
        </w:rPr>
        <w:t>various strategies to manage failed/failing crops</w:t>
      </w:r>
      <w:r w:rsidR="00AF7BE3" w:rsidRPr="00E6109B">
        <w:rPr>
          <w:rFonts w:eastAsia="Aptos"/>
          <w:sz w:val="18"/>
          <w:szCs w:val="18"/>
          <w:lang w:val="en-AU"/>
        </w:rPr>
        <w:t xml:space="preserve"> in different </w:t>
      </w:r>
      <w:r w:rsidR="75D3D5E3" w:rsidRPr="00E6109B">
        <w:rPr>
          <w:rFonts w:eastAsia="Aptos"/>
          <w:sz w:val="18"/>
          <w:szCs w:val="18"/>
          <w:lang w:val="en-AU"/>
        </w:rPr>
        <w:t>regions</w:t>
      </w:r>
      <w:r w:rsidR="00E03BE5" w:rsidRPr="00E6109B">
        <w:rPr>
          <w:rFonts w:eastAsia="Aptos"/>
          <w:kern w:val="2"/>
          <w:sz w:val="18"/>
          <w:szCs w:val="18"/>
          <w:lang w:val="en-AU"/>
          <w14:ligatures w14:val="standardContextual"/>
        </w:rPr>
        <w:t xml:space="preserve">. </w:t>
      </w:r>
      <w:r w:rsidR="000278B4" w:rsidRPr="00E6109B">
        <w:rPr>
          <w:rFonts w:eastAsia="Aptos"/>
          <w:kern w:val="2"/>
          <w:sz w:val="18"/>
          <w:szCs w:val="18"/>
          <w:lang w:val="en-AU"/>
          <w14:ligatures w14:val="standardContextual"/>
        </w:rPr>
        <w:t>This should include</w:t>
      </w:r>
      <w:r w:rsidR="0058623D" w:rsidRPr="00E6109B">
        <w:rPr>
          <w:rFonts w:eastAsia="Aptos"/>
          <w:kern w:val="2"/>
          <w:sz w:val="18"/>
          <w:szCs w:val="18"/>
          <w:lang w:val="en-AU"/>
          <w14:ligatures w14:val="standardContextual"/>
        </w:rPr>
        <w:t>:</w:t>
      </w:r>
    </w:p>
    <w:p w14:paraId="5251DD31" w14:textId="735FD98F" w:rsidR="00E03BE5" w:rsidRPr="00E6109B" w:rsidRDefault="000278B4" w:rsidP="009302BE">
      <w:pPr>
        <w:widowControl/>
        <w:numPr>
          <w:ilvl w:val="1"/>
          <w:numId w:val="15"/>
        </w:numPr>
        <w:autoSpaceDE/>
        <w:autoSpaceDN/>
        <w:spacing w:after="160"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consideration of the forage value </w:t>
      </w:r>
      <w:r w:rsidR="00E15C58" w:rsidRPr="00E6109B">
        <w:rPr>
          <w:rFonts w:eastAsia="Aptos"/>
          <w:kern w:val="2"/>
          <w:sz w:val="18"/>
          <w:szCs w:val="18"/>
          <w:lang w:val="en-AU"/>
          <w14:ligatures w14:val="standardContextual"/>
        </w:rPr>
        <w:t xml:space="preserve">against alternative feed sources (dry pastures/stubbles, grain and or other purchased feed) and </w:t>
      </w:r>
      <w:r w:rsidR="000023EE" w:rsidRPr="00E6109B">
        <w:rPr>
          <w:rFonts w:eastAsia="Aptos"/>
          <w:kern w:val="2"/>
          <w:sz w:val="18"/>
          <w:szCs w:val="18"/>
          <w:lang w:val="en-AU"/>
          <w14:ligatures w14:val="standardContextual"/>
        </w:rPr>
        <w:t xml:space="preserve">both on an annual (strategic) and drought relief strategy (tactical). </w:t>
      </w:r>
    </w:p>
    <w:p w14:paraId="0A472BD7" w14:textId="75BC72D7" w:rsidR="00985B7E" w:rsidRPr="00E6109B" w:rsidRDefault="618C2470" w:rsidP="00E71796">
      <w:pPr>
        <w:widowControl/>
        <w:numPr>
          <w:ilvl w:val="1"/>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Consideration</w:t>
      </w:r>
      <w:r w:rsidR="00985B7E" w:rsidRPr="00E6109B">
        <w:rPr>
          <w:rFonts w:eastAsia="Aptos"/>
          <w:kern w:val="2"/>
          <w:sz w:val="18"/>
          <w:szCs w:val="18"/>
          <w:lang w:val="en-AU"/>
          <w14:ligatures w14:val="standardContextual"/>
        </w:rPr>
        <w:t xml:space="preserve"> of how the frequency/magnitude of crop failure (or weediness) may affect management decisions e.g. infrastructure and machinery investment. </w:t>
      </w:r>
    </w:p>
    <w:p w14:paraId="64F59B7F" w14:textId="58BC9EEC" w:rsidR="69AF7EE8" w:rsidRPr="00E6109B" w:rsidRDefault="69AF7EE8" w:rsidP="66BB4631">
      <w:pPr>
        <w:widowControl/>
        <w:numPr>
          <w:ilvl w:val="0"/>
          <w:numId w:val="15"/>
        </w:numPr>
        <w:spacing w:after="160" w:line="259" w:lineRule="auto"/>
        <w:contextualSpacing/>
        <w:rPr>
          <w:rFonts w:eastAsia="Aptos"/>
          <w:sz w:val="18"/>
          <w:szCs w:val="18"/>
          <w:lang w:val="en-AU"/>
        </w:rPr>
      </w:pPr>
      <w:r w:rsidRPr="00E6109B">
        <w:rPr>
          <w:rFonts w:eastAsia="Aptos"/>
          <w:sz w:val="18"/>
          <w:szCs w:val="18"/>
          <w:lang w:val="en-AU"/>
        </w:rPr>
        <w:t xml:space="preserve">Identification of critical thresholds: </w:t>
      </w:r>
    </w:p>
    <w:p w14:paraId="6BE09FBA" w14:textId="64715E09"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take the crop through to harvest</w:t>
      </w:r>
    </w:p>
    <w:p w14:paraId="0D6DBAC3" w14:textId="109042E8"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sacrifice graze a crop</w:t>
      </w:r>
      <w:r w:rsidRPr="00E6109B">
        <w:rPr>
          <w:rFonts w:eastAsia="Aptos"/>
          <w:sz w:val="18"/>
          <w:szCs w:val="18"/>
          <w:lang w:val="en-AU"/>
        </w:rPr>
        <w:t xml:space="preserve"> </w:t>
      </w:r>
    </w:p>
    <w:p w14:paraId="032A2D48" w14:textId="312C558B"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make hay </w:t>
      </w:r>
    </w:p>
    <w:p w14:paraId="378F3190" w14:textId="3828EB0C"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make silage</w:t>
      </w:r>
      <w:r w:rsidRPr="00E6109B">
        <w:rPr>
          <w:rFonts w:eastAsia="Aptos"/>
          <w:sz w:val="18"/>
          <w:szCs w:val="18"/>
          <w:lang w:val="en-AU"/>
        </w:rPr>
        <w:t xml:space="preserve"> </w:t>
      </w:r>
    </w:p>
    <w:p w14:paraId="676985DC" w14:textId="1F897154" w:rsidR="00985B7E" w:rsidRPr="00E6109B" w:rsidRDefault="00985B7E" w:rsidP="66BB4631">
      <w:pPr>
        <w:widowControl/>
        <w:autoSpaceDE/>
        <w:autoSpaceDN/>
        <w:spacing w:after="160" w:line="259" w:lineRule="auto"/>
        <w:ind w:left="720"/>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This should incorporate consideration of cost per MJ o</w:t>
      </w:r>
      <w:r w:rsidR="615728B1" w:rsidRPr="00E6109B">
        <w:rPr>
          <w:rFonts w:eastAsia="Aptos"/>
          <w:kern w:val="2"/>
          <w:sz w:val="18"/>
          <w:szCs w:val="18"/>
          <w:lang w:val="en-AU"/>
          <w14:ligatures w14:val="standardContextual"/>
        </w:rPr>
        <w:t>f</w:t>
      </w:r>
      <w:r w:rsidRPr="00E6109B">
        <w:rPr>
          <w:rFonts w:eastAsia="Aptos"/>
          <w:kern w:val="2"/>
          <w:sz w:val="18"/>
          <w:szCs w:val="18"/>
          <w:lang w:val="en-AU"/>
          <w14:ligatures w14:val="standardContextual"/>
        </w:rPr>
        <w:t xml:space="preserve"> ME, forage quality/biomass trade-offs and the advantages of the respective conservation processes</w:t>
      </w:r>
      <w:r w:rsidR="2EFC0393" w:rsidRPr="00E6109B">
        <w:rPr>
          <w:rFonts w:eastAsia="Aptos"/>
          <w:kern w:val="2"/>
          <w:sz w:val="18"/>
          <w:szCs w:val="18"/>
          <w:lang w:val="en-AU"/>
          <w14:ligatures w14:val="standardContextual"/>
        </w:rPr>
        <w:t>.</w:t>
      </w:r>
    </w:p>
    <w:p w14:paraId="56412FF2" w14:textId="508549F4" w:rsidR="00985B7E" w:rsidRPr="00E6109B" w:rsidRDefault="003C1C37"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How to maximise returns from </w:t>
      </w:r>
      <w:r w:rsidR="00EC3F0C" w:rsidRPr="00E6109B">
        <w:rPr>
          <w:rFonts w:eastAsia="Aptos"/>
          <w:kern w:val="2"/>
          <w:sz w:val="18"/>
          <w:szCs w:val="18"/>
          <w:lang w:val="en-AU"/>
          <w14:ligatures w14:val="standardContextual"/>
        </w:rPr>
        <w:t xml:space="preserve">the </w:t>
      </w:r>
      <w:r w:rsidR="00564A0F" w:rsidRPr="00E6109B">
        <w:rPr>
          <w:rFonts w:eastAsia="Aptos"/>
          <w:kern w:val="2"/>
          <w:sz w:val="18"/>
          <w:szCs w:val="18"/>
          <w:lang w:val="en-AU"/>
          <w14:ligatures w14:val="standardContextual"/>
        </w:rPr>
        <w:t xml:space="preserve">use of </w:t>
      </w:r>
      <w:r w:rsidR="007362DC" w:rsidRPr="00E6109B">
        <w:rPr>
          <w:rFonts w:eastAsia="Aptos"/>
          <w:kern w:val="2"/>
          <w:sz w:val="18"/>
          <w:szCs w:val="18"/>
          <w:lang w:val="en-AU"/>
          <w14:ligatures w14:val="standardContextual"/>
        </w:rPr>
        <w:t xml:space="preserve">available </w:t>
      </w:r>
      <w:r w:rsidR="00C00D70" w:rsidRPr="00E6109B">
        <w:rPr>
          <w:rFonts w:eastAsia="Aptos"/>
          <w:kern w:val="2"/>
          <w:sz w:val="18"/>
          <w:szCs w:val="18"/>
          <w:lang w:val="en-AU"/>
          <w14:ligatures w14:val="standardContextual"/>
        </w:rPr>
        <w:t xml:space="preserve">conserved </w:t>
      </w:r>
      <w:r w:rsidR="007362DC" w:rsidRPr="00E6109B">
        <w:rPr>
          <w:rFonts w:eastAsia="Aptos"/>
          <w:kern w:val="2"/>
          <w:sz w:val="18"/>
          <w:szCs w:val="18"/>
          <w:lang w:val="en-AU"/>
          <w14:ligatures w14:val="standardContextual"/>
        </w:rPr>
        <w:t>forage</w:t>
      </w:r>
      <w:r w:rsidR="00985B7E" w:rsidRPr="00E6109B">
        <w:rPr>
          <w:rFonts w:eastAsia="Aptos"/>
          <w:kern w:val="2"/>
          <w:sz w:val="18"/>
          <w:szCs w:val="18"/>
          <w:lang w:val="en-AU"/>
          <w14:ligatures w14:val="standardContextual"/>
        </w:rPr>
        <w:t xml:space="preserve"> </w:t>
      </w:r>
      <w:r w:rsidR="00697651" w:rsidRPr="00E6109B">
        <w:rPr>
          <w:rFonts w:eastAsia="Aptos"/>
          <w:kern w:val="2"/>
          <w:sz w:val="18"/>
          <w:szCs w:val="18"/>
          <w:lang w:val="en-AU"/>
          <w14:ligatures w14:val="standardContextual"/>
        </w:rPr>
        <w:t>with</w:t>
      </w:r>
      <w:r w:rsidR="00985B7E" w:rsidRPr="00E6109B">
        <w:rPr>
          <w:rFonts w:eastAsia="Aptos"/>
          <w:kern w:val="2"/>
          <w:sz w:val="18"/>
          <w:szCs w:val="18"/>
          <w:lang w:val="en-AU"/>
          <w14:ligatures w14:val="standardContextual"/>
        </w:rPr>
        <w:t xml:space="preserve"> consideration of class of stock (cattle, sheep, breeding stock vs growing stock), the role of preservatives and additives</w:t>
      </w:r>
      <w:r w:rsidR="7AE84777" w:rsidRPr="00E6109B">
        <w:rPr>
          <w:rFonts w:eastAsia="Aptos"/>
          <w:kern w:val="2"/>
          <w:sz w:val="18"/>
          <w:szCs w:val="18"/>
          <w:lang w:val="en-AU"/>
          <w14:ligatures w14:val="standardContextual"/>
        </w:rPr>
        <w:t xml:space="preserve"> and</w:t>
      </w:r>
      <w:r w:rsidR="00985B7E" w:rsidRPr="00E6109B">
        <w:rPr>
          <w:rFonts w:eastAsia="Aptos"/>
          <w:kern w:val="2"/>
          <w:sz w:val="18"/>
          <w:szCs w:val="18"/>
          <w:lang w:val="en-AU"/>
          <w14:ligatures w14:val="standardContextual"/>
        </w:rPr>
        <w:t xml:space="preserve"> other dietary component or supplements</w:t>
      </w:r>
      <w:r w:rsidR="08345208" w:rsidRPr="00E6109B">
        <w:rPr>
          <w:rFonts w:eastAsia="Aptos"/>
          <w:kern w:val="2"/>
          <w:sz w:val="18"/>
          <w:szCs w:val="18"/>
          <w:lang w:val="en-AU"/>
          <w14:ligatures w14:val="standardContextual"/>
        </w:rPr>
        <w:t>.</w:t>
      </w:r>
    </w:p>
    <w:p w14:paraId="2DFA84E1" w14:textId="6BE21D61" w:rsidR="66BB4631" w:rsidRPr="00E6109B" w:rsidRDefault="66BB4631" w:rsidP="008D4C86">
      <w:pPr>
        <w:widowControl/>
        <w:autoSpaceDE/>
        <w:autoSpaceDN/>
        <w:spacing w:after="160" w:line="259" w:lineRule="auto"/>
        <w:contextualSpacing/>
        <w:rPr>
          <w:rFonts w:eastAsia="Aptos"/>
          <w:sz w:val="18"/>
          <w:szCs w:val="18"/>
          <w:lang w:val="en-AU"/>
        </w:rPr>
      </w:pPr>
    </w:p>
    <w:p w14:paraId="34889BBD" w14:textId="17CB9D54"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Phase two</w:t>
      </w:r>
      <w:r w:rsidRPr="00E6109B">
        <w:rPr>
          <w:rFonts w:eastAsia="Aptos"/>
          <w:kern w:val="2"/>
          <w:sz w:val="18"/>
          <w:szCs w:val="18"/>
          <w:lang w:val="en-AU"/>
          <w14:ligatures w14:val="standardContextual"/>
        </w:rPr>
        <w:t xml:space="preserve">: </w:t>
      </w:r>
      <w:r w:rsidR="00D60B30" w:rsidRPr="00E6109B">
        <w:rPr>
          <w:rFonts w:eastAsia="Aptos"/>
          <w:kern w:val="2"/>
          <w:sz w:val="18"/>
          <w:szCs w:val="18"/>
          <w:lang w:val="en-AU"/>
          <w14:ligatures w14:val="standardContextual"/>
        </w:rPr>
        <w:t>(following the completion of phase one).</w:t>
      </w:r>
      <w:r w:rsidR="00990F5B" w:rsidRPr="00E6109B">
        <w:rPr>
          <w:rFonts w:eastAsia="Aptos"/>
          <w:kern w:val="2"/>
          <w:sz w:val="18"/>
          <w:szCs w:val="18"/>
          <w:lang w:val="en-AU"/>
          <w14:ligatures w14:val="standardContextual"/>
        </w:rPr>
        <w:t xml:space="preserve"> D</w:t>
      </w:r>
      <w:r w:rsidRPr="00E6109B">
        <w:rPr>
          <w:rFonts w:eastAsia="Aptos"/>
          <w:kern w:val="2"/>
          <w:sz w:val="18"/>
          <w:szCs w:val="18"/>
          <w:lang w:val="en-AU"/>
          <w14:ligatures w14:val="standardContextual"/>
        </w:rPr>
        <w:t xml:space="preserve">evelopment and demonstration of whole farm system strategies to manage failed/failing/weedy crops. </w:t>
      </w:r>
    </w:p>
    <w:p w14:paraId="77CB6518"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This phase should be informed by phase one and may include (but is not limited to): </w:t>
      </w:r>
    </w:p>
    <w:p w14:paraId="1603D859" w14:textId="77777777" w:rsidR="00985B7E" w:rsidRPr="00E6109B" w:rsidRDefault="00985B7E" w:rsidP="00985B7E">
      <w:pPr>
        <w:widowControl/>
        <w:numPr>
          <w:ilvl w:val="0"/>
          <w:numId w:val="16"/>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Demonstration of long-term silage storage, how this can support risk management for the cropping enterprise and how to most effectively capitalise on the opportunity for animal production. </w:t>
      </w:r>
    </w:p>
    <w:p w14:paraId="7E7B54B6" w14:textId="74313E14" w:rsidR="00985B7E" w:rsidRPr="00E6109B" w:rsidRDefault="00985B7E" w:rsidP="00985B7E">
      <w:pPr>
        <w:widowControl/>
        <w:numPr>
          <w:ilvl w:val="0"/>
          <w:numId w:val="16"/>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Demonstration of feeding strategies and nutrition formulation</w:t>
      </w:r>
      <w:r w:rsidR="00AA2FE2" w:rsidRPr="00E6109B">
        <w:rPr>
          <w:rFonts w:eastAsia="Aptos"/>
          <w:kern w:val="2"/>
          <w:sz w:val="18"/>
          <w:szCs w:val="18"/>
          <w:lang w:val="en-AU"/>
          <w14:ligatures w14:val="standardContextual"/>
        </w:rPr>
        <w:t xml:space="preserve"> to optimise animal productivity from conserved forage</w:t>
      </w:r>
      <w:r w:rsidRPr="00E6109B">
        <w:rPr>
          <w:rFonts w:eastAsia="Aptos"/>
          <w:kern w:val="2"/>
          <w:sz w:val="18"/>
          <w:szCs w:val="18"/>
          <w:lang w:val="en-AU"/>
          <w14:ligatures w14:val="standardContextual"/>
        </w:rPr>
        <w:t xml:space="preserve">. </w:t>
      </w:r>
    </w:p>
    <w:p w14:paraId="0CC9A690" w14:textId="4D43F219"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and application of tools to better understand ‘crop triage’ opportunities this includes tools that better enable crop damage detection (e.g. frost), prediction of seasonal outcomes (based on soil moisture and weather forecasts) and prediction of potential forage quality and biomass trajectories.  </w:t>
      </w:r>
    </w:p>
    <w:p w14:paraId="469BBCA3" w14:textId="3F645D0E"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of tactical co-sowing of crops and legume for either crop harvest (spraying out the legume) or forage conservation depending on seasonal forecasts, soil moisture profile and grain/livestock price ratios.  </w:t>
      </w:r>
    </w:p>
    <w:p w14:paraId="36D5A2E0" w14:textId="2C851B0B"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of the impact of different strategies on weed control, soils (erosion risk, soil moisture, nutrient balance) and stubble management.  </w:t>
      </w:r>
    </w:p>
    <w:p w14:paraId="54B5157A" w14:textId="77777777" w:rsidR="00E53F55" w:rsidRPr="00E6109B" w:rsidRDefault="00E53F55" w:rsidP="00E53F55">
      <w:pPr>
        <w:widowControl/>
        <w:autoSpaceDE/>
        <w:autoSpaceDN/>
        <w:spacing w:after="160" w:line="259" w:lineRule="auto"/>
        <w:ind w:left="766"/>
        <w:contextualSpacing/>
        <w:rPr>
          <w:rFonts w:eastAsia="Aptos"/>
          <w:kern w:val="2"/>
          <w:sz w:val="18"/>
          <w:szCs w:val="18"/>
          <w:lang w:val="en-AU"/>
          <w14:ligatures w14:val="standardContextual"/>
        </w:rPr>
      </w:pPr>
    </w:p>
    <w:p w14:paraId="5C6DBA35" w14:textId="5D7CFFCF"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lastRenderedPageBreak/>
        <w:t xml:space="preserve">Phase three: </w:t>
      </w:r>
      <w:r w:rsidR="00FE24C6" w:rsidRPr="00E6109B">
        <w:rPr>
          <w:rFonts w:eastAsia="Aptos"/>
          <w:kern w:val="2"/>
          <w:sz w:val="18"/>
          <w:szCs w:val="18"/>
          <w:lang w:val="en-AU"/>
          <w14:ligatures w14:val="standardContextual"/>
        </w:rPr>
        <w:t xml:space="preserve">production and/or </w:t>
      </w:r>
      <w:r w:rsidRPr="00E6109B">
        <w:rPr>
          <w:rFonts w:eastAsia="Aptos"/>
          <w:kern w:val="2"/>
          <w:sz w:val="18"/>
          <w:szCs w:val="18"/>
          <w:lang w:val="en-AU"/>
          <w14:ligatures w14:val="standardContextual"/>
        </w:rPr>
        <w:t>delivery of extension products to support optimal outcomes</w:t>
      </w:r>
      <w:r w:rsidR="009E6759" w:rsidRPr="00E6109B">
        <w:rPr>
          <w:rFonts w:eastAsia="Aptos"/>
          <w:kern w:val="2"/>
          <w:sz w:val="18"/>
          <w:szCs w:val="18"/>
          <w:lang w:val="en-AU"/>
          <w14:ligatures w14:val="standardContextual"/>
        </w:rPr>
        <w:t xml:space="preserve">. This should include a collation of new and existing information. </w:t>
      </w:r>
      <w:r w:rsidRPr="00E6109B">
        <w:rPr>
          <w:rFonts w:eastAsia="Aptos"/>
          <w:b/>
          <w:bCs/>
          <w:kern w:val="2"/>
          <w:sz w:val="18"/>
          <w:szCs w:val="18"/>
          <w:lang w:val="en-AU"/>
          <w14:ligatures w14:val="standardContextual"/>
        </w:rPr>
        <w:t xml:space="preserve"> </w:t>
      </w:r>
    </w:p>
    <w:p w14:paraId="788D7943"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There are a range of suitable formats for these materials including:</w:t>
      </w:r>
    </w:p>
    <w:p w14:paraId="667202C3"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Videos </w:t>
      </w:r>
    </w:p>
    <w:p w14:paraId="3EE0E3C2"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Grower case studies </w:t>
      </w:r>
    </w:p>
    <w:p w14:paraId="548E590D"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Supported learning packages </w:t>
      </w:r>
    </w:p>
    <w:p w14:paraId="73FB1DD0"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Grower guides</w:t>
      </w:r>
    </w:p>
    <w:p w14:paraId="5BEF4FA2" w14:textId="73B78B7B" w:rsidR="0042432B" w:rsidRPr="00E6109B" w:rsidRDefault="0042432B" w:rsidP="0035638B">
      <w:pPr>
        <w:widowControl/>
        <w:numPr>
          <w:ilvl w:val="0"/>
          <w:numId w:val="17"/>
        </w:numPr>
        <w:autoSpaceDE/>
        <w:autoSpaceDN/>
        <w:spacing w:after="120" w:line="259" w:lineRule="auto"/>
        <w:ind w:left="71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Producer </w:t>
      </w:r>
      <w:r w:rsidR="00D17F9B" w:rsidRPr="00E6109B">
        <w:rPr>
          <w:rFonts w:eastAsia="Aptos"/>
          <w:kern w:val="2"/>
          <w:sz w:val="18"/>
          <w:szCs w:val="18"/>
          <w:lang w:val="en-AU"/>
          <w14:ligatures w14:val="standardContextual"/>
        </w:rPr>
        <w:t>field</w:t>
      </w:r>
      <w:r w:rsidRPr="00E6109B">
        <w:rPr>
          <w:rFonts w:eastAsia="Aptos"/>
          <w:kern w:val="2"/>
          <w:sz w:val="18"/>
          <w:szCs w:val="18"/>
          <w:lang w:val="en-AU"/>
          <w14:ligatures w14:val="standardContextual"/>
        </w:rPr>
        <w:t xml:space="preserve"> tours </w:t>
      </w:r>
    </w:p>
    <w:p w14:paraId="246C7641"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03B3A974" w14:textId="41ABE440"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Importantly a range of audiences should be targeted including growers (crop only, crop/livestock) as well as the advisory sector. </w:t>
      </w:r>
    </w:p>
    <w:p w14:paraId="1115B947" w14:textId="5BF83D70"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u w:val="single"/>
          <w:lang w:val="en-AU"/>
          <w14:ligatures w14:val="standardContextual"/>
        </w:rPr>
        <w:t>Additional information</w:t>
      </w:r>
      <w:r w:rsidRPr="00E6109B">
        <w:rPr>
          <w:rFonts w:eastAsia="Aptos"/>
          <w:b/>
          <w:bCs/>
          <w:kern w:val="2"/>
          <w:sz w:val="18"/>
          <w:szCs w:val="18"/>
          <w:lang w:val="en-AU"/>
          <w14:ligatures w14:val="standardContextual"/>
        </w:rPr>
        <w:t> </w:t>
      </w:r>
    </w:p>
    <w:p w14:paraId="097194D0" w14:textId="77777777" w:rsidR="00985B7E" w:rsidRPr="00E6109B" w:rsidRDefault="00985B7E" w:rsidP="00985B7E">
      <w:pPr>
        <w:widowControl/>
        <w:numPr>
          <w:ilvl w:val="0"/>
          <w:numId w:val="18"/>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Project design is expected to involve advisors, agribusiness, farming systems and other farmer groups in developing and delivering localised solutions that achieve significant producer uptake. </w:t>
      </w:r>
    </w:p>
    <w:p w14:paraId="6566B5FE" w14:textId="77777777" w:rsidR="00985B7E" w:rsidRPr="00E6109B" w:rsidRDefault="00985B7E" w:rsidP="00985B7E">
      <w:pPr>
        <w:widowControl/>
        <w:numPr>
          <w:ilvl w:val="0"/>
          <w:numId w:val="19"/>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Applicants must consider how any funded work will translate into practice change on farm. The applicant should demonstrate that they have considered potential adoption pathways.    </w:t>
      </w:r>
    </w:p>
    <w:p w14:paraId="3060C796" w14:textId="77777777" w:rsidR="00985B7E" w:rsidRPr="00E6109B" w:rsidRDefault="00985B7E" w:rsidP="00985B7E">
      <w:pPr>
        <w:widowControl/>
        <w:numPr>
          <w:ilvl w:val="0"/>
          <w:numId w:val="20"/>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Extension and adoption activities must be included in the activity to facilitate adoption of project findings. Collection of KASA metrics at producer facing events must be incorporated into project activities, and these metrics must be reported to MLA on a quarterly basis. KASA targets should be stated within the proposal.  </w:t>
      </w:r>
    </w:p>
    <w:p w14:paraId="0BD59811" w14:textId="77777777" w:rsidR="00985B7E" w:rsidRPr="00E6109B" w:rsidRDefault="00985B7E" w:rsidP="00985B7E">
      <w:pPr>
        <w:widowControl/>
        <w:numPr>
          <w:ilvl w:val="0"/>
          <w:numId w:val="21"/>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 project must deliver a technical Report, case studies and producer-friendly extension materials that MLA and partners can utilise to frame the value proposition of improved production practices and communicate widely to livestock producers.  </w:t>
      </w:r>
    </w:p>
    <w:p w14:paraId="17ED4838"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w:t>
      </w:r>
      <w:r w:rsidRPr="00E6109B">
        <w:rPr>
          <w:rFonts w:eastAsia="Aptos"/>
          <w:kern w:val="2"/>
          <w:sz w:val="18"/>
          <w:szCs w:val="18"/>
          <w:u w:val="single"/>
          <w:lang w:val="en-AU"/>
          <w14:ligatures w14:val="standardContextual"/>
        </w:rPr>
        <w:t>Monitoring, evaluation and communications requirements</w:t>
      </w:r>
      <w:r w:rsidRPr="00E6109B">
        <w:rPr>
          <w:rFonts w:eastAsia="Aptos"/>
          <w:kern w:val="2"/>
          <w:sz w:val="18"/>
          <w:szCs w:val="18"/>
          <w:lang w:val="en-AU"/>
          <w14:ligatures w14:val="standardContextual"/>
        </w:rPr>
        <w:t> </w:t>
      </w:r>
    </w:p>
    <w:p w14:paraId="04F85C99" w14:textId="77777777" w:rsidR="00985B7E" w:rsidRPr="00E6109B" w:rsidRDefault="00985B7E" w:rsidP="00985B7E">
      <w:pPr>
        <w:widowControl/>
        <w:numPr>
          <w:ilvl w:val="0"/>
          <w:numId w:val="23"/>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Proposals should budget for the development of a MER plan aligned to the MLA framework (available upon request) in this proposal.   </w:t>
      </w:r>
    </w:p>
    <w:p w14:paraId="4704FB4D" w14:textId="0A565875" w:rsidR="00985B7E" w:rsidRPr="00E6109B" w:rsidRDefault="00985B7E" w:rsidP="00985B7E">
      <w:pPr>
        <w:widowControl/>
        <w:numPr>
          <w:ilvl w:val="0"/>
          <w:numId w:val="24"/>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This should be budgeted for as a specific project activity</w:t>
      </w:r>
      <w:r w:rsidR="00A35E8B">
        <w:rPr>
          <w:rFonts w:eastAsia="Aptos"/>
          <w:kern w:val="2"/>
          <w:sz w:val="18"/>
          <w:szCs w:val="18"/>
          <w:lang w:val="en-AU"/>
          <w14:ligatures w14:val="standardContextual"/>
        </w:rPr>
        <w:t xml:space="preserve"> to be conducted by a subcontractor approved by MLA</w:t>
      </w:r>
      <w:r w:rsidRPr="00E6109B">
        <w:rPr>
          <w:rFonts w:eastAsia="Aptos"/>
          <w:kern w:val="2"/>
          <w:sz w:val="18"/>
          <w:szCs w:val="18"/>
          <w:lang w:val="en-AU"/>
          <w14:ligatures w14:val="standardContextual"/>
        </w:rPr>
        <w:t>. This contractor will work with the project team to develop a comprehensive monitoring, evaluation and reporting (MER) plan aligned to the MLA framework (available upon request). </w:t>
      </w:r>
    </w:p>
    <w:p w14:paraId="252988C6" w14:textId="77777777" w:rsidR="00985B7E" w:rsidRPr="00E6109B" w:rsidRDefault="00985B7E" w:rsidP="00985B7E">
      <w:pPr>
        <w:widowControl/>
        <w:numPr>
          <w:ilvl w:val="0"/>
          <w:numId w:val="25"/>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Development of the MER plan will be a requirement of milestone one if the project is successful.  </w:t>
      </w:r>
    </w:p>
    <w:p w14:paraId="4570D890" w14:textId="77777777" w:rsidR="00985B7E" w:rsidRPr="00E6109B" w:rsidRDefault="00985B7E" w:rsidP="00985B7E">
      <w:pPr>
        <w:widowControl/>
        <w:numPr>
          <w:ilvl w:val="0"/>
          <w:numId w:val="26"/>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Proposals should allocate specific resourcing to the development and delivery of communications materials and activities from the start of the project (a communications plan will be required at the commencement of the project) until completion.  </w:t>
      </w:r>
    </w:p>
    <w:p w14:paraId="7B261F10"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Project timing and duration </w:t>
      </w:r>
      <w:r w:rsidRPr="00E6109B">
        <w:rPr>
          <w:rFonts w:eastAsia="Aptos"/>
          <w:kern w:val="2"/>
          <w:sz w:val="18"/>
          <w:szCs w:val="18"/>
          <w:lang w:val="en-AU"/>
          <w14:ligatures w14:val="standardContextual"/>
        </w:rPr>
        <w:t> </w:t>
      </w:r>
    </w:p>
    <w:p w14:paraId="00829A1C" w14:textId="5B10EB7F"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Planned project start date should occur no earlier than </w:t>
      </w:r>
      <w:r w:rsidR="00EA49C6" w:rsidRPr="00E6109B">
        <w:rPr>
          <w:rFonts w:eastAsia="Aptos"/>
          <w:kern w:val="2"/>
          <w:sz w:val="18"/>
          <w:szCs w:val="18"/>
          <w:lang w:val="en-AU"/>
          <w14:ligatures w14:val="standardContextual"/>
        </w:rPr>
        <w:t>1</w:t>
      </w:r>
      <w:r w:rsidR="00EA49C6" w:rsidRPr="00E6109B">
        <w:rPr>
          <w:rFonts w:eastAsia="Aptos"/>
          <w:kern w:val="2"/>
          <w:sz w:val="18"/>
          <w:szCs w:val="18"/>
          <w:vertAlign w:val="superscript"/>
          <w:lang w:val="en-AU"/>
          <w14:ligatures w14:val="standardContextual"/>
        </w:rPr>
        <w:t>st</w:t>
      </w:r>
      <w:r w:rsidR="00EA49C6" w:rsidRPr="00E6109B">
        <w:rPr>
          <w:rFonts w:eastAsia="Aptos"/>
          <w:kern w:val="2"/>
          <w:sz w:val="18"/>
          <w:szCs w:val="18"/>
          <w:lang w:val="en-AU"/>
          <w14:ligatures w14:val="standardContextual"/>
        </w:rPr>
        <w:t xml:space="preserve"> January 2026</w:t>
      </w:r>
      <w:r w:rsidRPr="00E6109B">
        <w:rPr>
          <w:rFonts w:eastAsia="Aptos"/>
          <w:kern w:val="2"/>
          <w:sz w:val="18"/>
          <w:szCs w:val="18"/>
          <w:lang w:val="en-AU"/>
          <w14:ligatures w14:val="standardContextual"/>
        </w:rPr>
        <w:t>; though a contract may be executed before this date. Projects are expected to contain at least three years of field experimentation and include sufficient time to develop producer-relevant resources at the end of the project. </w:t>
      </w:r>
    </w:p>
    <w:p w14:paraId="2D5EC9DD"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Budget:</w:t>
      </w:r>
      <w:r w:rsidRPr="00E6109B">
        <w:rPr>
          <w:rFonts w:eastAsia="Aptos"/>
          <w:kern w:val="2"/>
          <w:sz w:val="18"/>
          <w:szCs w:val="18"/>
          <w:lang w:val="en-AU"/>
          <w14:ligatures w14:val="standardContextual"/>
        </w:rPr>
        <w:t> </w:t>
      </w:r>
    </w:p>
    <w:p w14:paraId="52413112" w14:textId="418FF4E0" w:rsidR="4EBF4C46" w:rsidRDefault="4EBF4C46" w:rsidP="23486FC0">
      <w:pPr>
        <w:rPr>
          <w:color w:val="000000" w:themeColor="text1"/>
          <w:sz w:val="18"/>
          <w:szCs w:val="18"/>
          <w:lang w:val="en-AU"/>
        </w:rPr>
      </w:pPr>
      <w:r w:rsidRPr="23486FC0">
        <w:rPr>
          <w:color w:val="000000" w:themeColor="text1"/>
          <w:sz w:val="18"/>
          <w:szCs w:val="18"/>
          <w:lang w:val="en-AU"/>
        </w:rPr>
        <w:t>This investment call is only for MDC project applications i.e. no levy funds are being made available for this call.</w:t>
      </w:r>
    </w:p>
    <w:p w14:paraId="012A9764" w14:textId="3909CAD8" w:rsidR="4EBF4C46" w:rsidRDefault="4EBF4C46" w:rsidP="23486FC0">
      <w:pPr>
        <w:spacing w:before="120"/>
        <w:rPr>
          <w:color w:val="000000" w:themeColor="text1"/>
          <w:sz w:val="18"/>
          <w:szCs w:val="18"/>
          <w:lang w:val="en-AU"/>
        </w:rPr>
      </w:pPr>
      <w:r w:rsidRPr="23486FC0">
        <w:rPr>
          <w:color w:val="000000" w:themeColor="text1"/>
          <w:sz w:val="18"/>
          <w:szCs w:val="18"/>
          <w:lang w:val="en-AU"/>
        </w:rPr>
        <w:t>Research partners are required to collaborate under a 40:60 funding support program. That is, MDC will match up to 40 cents in the dollar where projects deliver outcomes that address MLA’s strategic objectives.</w:t>
      </w:r>
    </w:p>
    <w:p w14:paraId="60C501A0" w14:textId="10E0E39C" w:rsidR="3AE10A9A" w:rsidRDefault="3AE10A9A" w:rsidP="23486FC0">
      <w:pPr>
        <w:spacing w:before="120"/>
        <w:rPr>
          <w:sz w:val="18"/>
          <w:szCs w:val="18"/>
          <w:lang w:val="en-AU"/>
        </w:rPr>
      </w:pPr>
      <w:r w:rsidRPr="23486FC0">
        <w:rPr>
          <w:sz w:val="18"/>
          <w:szCs w:val="18"/>
          <w:lang w:val="en-AU"/>
        </w:rPr>
        <w:t>There is no set budget for this project, however, value for money will be a key selection criterion. A budget justification must be submitted with the project application as per the example supplied in the ‘submitting proposals’ section below. The budget should include allocation for any proposed extension and awareness raising activities, and producer consultation.</w:t>
      </w:r>
    </w:p>
    <w:p w14:paraId="40B6E374" w14:textId="77777777" w:rsidR="00A35E8B" w:rsidRDefault="00A35E8B" w:rsidP="23486FC0">
      <w:pPr>
        <w:spacing w:before="120"/>
        <w:rPr>
          <w:sz w:val="18"/>
          <w:szCs w:val="18"/>
          <w:lang w:val="en-AU"/>
        </w:rPr>
      </w:pPr>
    </w:p>
    <w:p w14:paraId="1F56062B" w14:textId="42401069" w:rsidR="00985B7E" w:rsidRPr="00C51438" w:rsidRDefault="00C51438" w:rsidP="23486FC0">
      <w:pPr>
        <w:pStyle w:val="Heading1"/>
        <w:widowControl/>
        <w:autoSpaceDE/>
        <w:autoSpaceDN/>
        <w:spacing w:before="120" w:line="259" w:lineRule="auto"/>
        <w:ind w:left="432" w:hanging="432"/>
        <w:rPr>
          <w:sz w:val="18"/>
          <w:szCs w:val="18"/>
          <w:lang w:val="en-AU"/>
        </w:rPr>
      </w:pPr>
      <w:r>
        <w:rPr>
          <w:sz w:val="18"/>
          <w:szCs w:val="18"/>
          <w:lang w:val="en-AU"/>
        </w:rPr>
        <w:lastRenderedPageBreak/>
        <w:t>C</w:t>
      </w:r>
      <w:r w:rsidR="0650BD8F" w:rsidRPr="00C51438">
        <w:rPr>
          <w:sz w:val="18"/>
          <w:szCs w:val="18"/>
          <w:lang w:val="en-AU"/>
        </w:rPr>
        <w:t>ompleting the Preliminary Proposal</w:t>
      </w:r>
      <w:r w:rsidR="3C2A1C8B" w:rsidRPr="23486FC0">
        <w:rPr>
          <w:sz w:val="18"/>
          <w:szCs w:val="18"/>
          <w:lang w:val="en-AU"/>
        </w:rPr>
        <w:t xml:space="preserve"> </w:t>
      </w:r>
      <w:hyperlink r:id="rId30" w:history="1">
        <w:r w:rsidR="3C2A1C8B" w:rsidRPr="23486FC0">
          <w:rPr>
            <w:rStyle w:val="Hyperlink"/>
            <w:rFonts w:eastAsia="Aptos"/>
            <w:sz w:val="18"/>
            <w:szCs w:val="18"/>
            <w:lang w:val="en-AU"/>
          </w:rPr>
          <w:t>(</w:t>
        </w:r>
        <w:proofErr w:type="spellStart"/>
        <w:r w:rsidR="3C2A1C8B" w:rsidRPr="23486FC0">
          <w:rPr>
            <w:rStyle w:val="Hyperlink"/>
            <w:rFonts w:eastAsia="Aptos"/>
            <w:sz w:val="18"/>
            <w:szCs w:val="18"/>
            <w:lang w:val="en-AU"/>
          </w:rPr>
          <w:t>mla</w:t>
        </w:r>
        <w:proofErr w:type="spellEnd"/>
        <w:r w:rsidR="3C2A1C8B" w:rsidRPr="23486FC0">
          <w:rPr>
            <w:rStyle w:val="Hyperlink"/>
            <w:rFonts w:eastAsia="Aptos"/>
            <w:sz w:val="18"/>
            <w:szCs w:val="18"/>
            <w:lang w:val="en-AU"/>
          </w:rPr>
          <w:t>-project-funding-application-form)</w:t>
        </w:r>
      </w:hyperlink>
      <w:r w:rsidR="3C2A1C8B" w:rsidRPr="23486FC0">
        <w:rPr>
          <w:rFonts w:eastAsia="Aptos"/>
          <w:sz w:val="18"/>
          <w:szCs w:val="18"/>
          <w:lang w:val="en-AU"/>
        </w:rPr>
        <w:t xml:space="preserve">  </w:t>
      </w:r>
      <w:r w:rsidR="0650BD8F" w:rsidRPr="00C51438">
        <w:rPr>
          <w:sz w:val="18"/>
          <w:szCs w:val="18"/>
          <w:lang w:val="en-AU"/>
        </w:rPr>
        <w:t xml:space="preserve">: </w:t>
      </w:r>
    </w:p>
    <w:p w14:paraId="1E46BACF" w14:textId="33603459" w:rsidR="00985B7E" w:rsidRPr="00C51438" w:rsidRDefault="0650BD8F" w:rsidP="23486FC0">
      <w:pPr>
        <w:pStyle w:val="ListParagraph"/>
        <w:widowControl/>
        <w:numPr>
          <w:ilvl w:val="0"/>
          <w:numId w:val="31"/>
        </w:numPr>
        <w:autoSpaceDE/>
        <w:autoSpaceDN/>
        <w:spacing w:line="259" w:lineRule="auto"/>
        <w:rPr>
          <w:sz w:val="18"/>
          <w:szCs w:val="18"/>
          <w:lang w:val="en-AU"/>
        </w:rPr>
      </w:pPr>
      <w:r w:rsidRPr="00C51438">
        <w:rPr>
          <w:sz w:val="18"/>
          <w:szCs w:val="18"/>
          <w:lang w:val="en-AU"/>
        </w:rPr>
        <w:t>Word limits must be adhered to as follows for the preliminary proposal</w:t>
      </w:r>
    </w:p>
    <w:p w14:paraId="485AFAD8" w14:textId="0FA59744"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Summary – 200 words</w:t>
      </w:r>
    </w:p>
    <w:p w14:paraId="081D80FE" w14:textId="08B24DAD"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Purpose and description – one page</w:t>
      </w:r>
    </w:p>
    <w:p w14:paraId="3DE52E40" w14:textId="0594BEBE"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 xml:space="preserve">Project Objectives – half page </w:t>
      </w:r>
    </w:p>
    <w:p w14:paraId="0AD89708" w14:textId="35E6C4DD"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 xml:space="preserve">Additional details (Background and Significance) - half page </w:t>
      </w:r>
    </w:p>
    <w:p w14:paraId="21D70732" w14:textId="4E41A711"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Additional details (Methodology) – one page</w:t>
      </w:r>
    </w:p>
    <w:p w14:paraId="61401653" w14:textId="4AEB03C3"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Additional details (Project deliverables) - half page</w:t>
      </w:r>
    </w:p>
    <w:p w14:paraId="7D35073F" w14:textId="2651B2FC" w:rsidR="00985B7E" w:rsidRPr="00C51438" w:rsidRDefault="0650BD8F" w:rsidP="23486FC0">
      <w:pPr>
        <w:pStyle w:val="ListParagraph"/>
        <w:widowControl/>
        <w:numPr>
          <w:ilvl w:val="0"/>
          <w:numId w:val="31"/>
        </w:numPr>
        <w:autoSpaceDE/>
        <w:autoSpaceDN/>
        <w:spacing w:line="259" w:lineRule="auto"/>
        <w:rPr>
          <w:sz w:val="18"/>
          <w:szCs w:val="18"/>
          <w:lang w:val="en-AU"/>
        </w:rPr>
      </w:pPr>
      <w:r w:rsidRPr="00C51438">
        <w:rPr>
          <w:sz w:val="18"/>
          <w:szCs w:val="18"/>
          <w:lang w:val="en-AU"/>
        </w:rPr>
        <w:t xml:space="preserve">Within the additional details section, applicants should describe the intended project deliverables other than a final report: i.e. tangible project outputs that create pathways to impact for the red meat industry such as best-practice guides, fact sheets, advisor/producer training workshops, field days, software tools, new varieties or genetic technologies etc. </w:t>
      </w:r>
    </w:p>
    <w:p w14:paraId="28864CAF" w14:textId="3D600F0D" w:rsidR="00985B7E" w:rsidRPr="00C51438" w:rsidRDefault="0650BD8F" w:rsidP="23486FC0">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For this investment call, applicants do not need to complete the milestone or cash flow tables in the preliminary proposal form, or the budget table in appendix 1 of the preliminary proposal.</w:t>
      </w:r>
    </w:p>
    <w:p w14:paraId="2532F93E" w14:textId="7EA37040" w:rsidR="00985B7E" w:rsidRPr="00C51438" w:rsidRDefault="0650BD8F" w:rsidP="23486FC0">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 xml:space="preserve">However, applicants are required to submit a separate budget table following the format </w:t>
      </w:r>
      <w:r w:rsidR="0FE3B4C5" w:rsidRPr="23486FC0">
        <w:rPr>
          <w:sz w:val="18"/>
          <w:szCs w:val="18"/>
          <w:lang w:val="en-AU"/>
        </w:rPr>
        <w:t>of</w:t>
      </w:r>
      <w:r w:rsidRPr="00C51438">
        <w:rPr>
          <w:sz w:val="18"/>
          <w:szCs w:val="18"/>
          <w:lang w:val="en-AU"/>
        </w:rPr>
        <w:t xml:space="preserve"> the sample excel spreadsheet supplied in the ‘submitting proposals</w:t>
      </w:r>
      <w:r w:rsidR="71C872CA" w:rsidRPr="23486FC0">
        <w:rPr>
          <w:sz w:val="18"/>
          <w:szCs w:val="18"/>
          <w:lang w:val="en-AU"/>
        </w:rPr>
        <w:t xml:space="preserve"> and EOIs</w:t>
      </w:r>
      <w:r w:rsidRPr="00C51438">
        <w:rPr>
          <w:sz w:val="18"/>
          <w:szCs w:val="18"/>
          <w:lang w:val="en-AU"/>
        </w:rPr>
        <w:t xml:space="preserve">’ section below. </w:t>
      </w:r>
    </w:p>
    <w:p w14:paraId="432C8597" w14:textId="77777777" w:rsidR="004E51D3" w:rsidRDefault="0650BD8F" w:rsidP="004E51D3">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The proposal should describe all resources, personnel and budget required to complete the project.</w:t>
      </w:r>
    </w:p>
    <w:p w14:paraId="3D3B4A05" w14:textId="471D1E9F" w:rsidR="00985B7E" w:rsidRPr="004E51D3" w:rsidRDefault="0650BD8F" w:rsidP="004E51D3">
      <w:pPr>
        <w:pStyle w:val="ListParagraph"/>
        <w:widowControl/>
        <w:numPr>
          <w:ilvl w:val="0"/>
          <w:numId w:val="31"/>
        </w:numPr>
        <w:autoSpaceDE/>
        <w:autoSpaceDN/>
        <w:spacing w:line="259" w:lineRule="auto"/>
        <w:ind w:left="709" w:hanging="283"/>
        <w:jc w:val="both"/>
        <w:rPr>
          <w:sz w:val="18"/>
          <w:szCs w:val="18"/>
          <w:lang w:val="en-AU"/>
        </w:rPr>
      </w:pPr>
      <w:r w:rsidRPr="004E51D3">
        <w:rPr>
          <w:sz w:val="18"/>
          <w:szCs w:val="18"/>
          <w:lang w:val="en-AU"/>
        </w:rPr>
        <w:t xml:space="preserve">Noting the instructions above, the remainder of the preliminary proposal should be completed as per the instructions in the MLA Project Funding Application Guidelines at the following link:  </w:t>
      </w:r>
      <w:hyperlink r:id="rId31">
        <w:r w:rsidRPr="004E51D3">
          <w:rPr>
            <w:rStyle w:val="Hyperlink"/>
            <w:color w:val="0000FF"/>
            <w:sz w:val="18"/>
            <w:szCs w:val="18"/>
            <w:lang w:val="en-AU"/>
          </w:rPr>
          <w:t>MLA Project Funding Application Guidelines.docx</w:t>
        </w:r>
      </w:hyperlink>
    </w:p>
    <w:p w14:paraId="73AC6970" w14:textId="1DE5E0A6" w:rsidR="00985B7E" w:rsidRPr="00E6109B" w:rsidRDefault="0650BD8F" w:rsidP="23486FC0">
      <w:pPr>
        <w:widowControl/>
        <w:autoSpaceDE/>
        <w:autoSpaceDN/>
        <w:spacing w:line="259" w:lineRule="auto"/>
        <w:jc w:val="both"/>
      </w:pPr>
      <w:r w:rsidRPr="23486FC0">
        <w:rPr>
          <w:rFonts w:ascii="Calibri" w:eastAsia="Calibri" w:hAnsi="Calibri" w:cs="Calibri"/>
          <w:lang w:val="en-AU"/>
        </w:rPr>
        <w:t xml:space="preserve"> </w:t>
      </w:r>
    </w:p>
    <w:p w14:paraId="12BF903F" w14:textId="41FD3366" w:rsidR="00985B7E" w:rsidRPr="00E6109B" w:rsidRDefault="07D5B944" w:rsidP="23486FC0">
      <w:pPr>
        <w:widowControl/>
        <w:autoSpaceDE/>
        <w:autoSpaceDN/>
        <w:spacing w:after="160" w:line="259" w:lineRule="auto"/>
        <w:rPr>
          <w:rFonts w:eastAsia="Aptos"/>
          <w:sz w:val="18"/>
          <w:szCs w:val="18"/>
          <w:lang w:val="en-AU"/>
        </w:rPr>
      </w:pPr>
      <w:r w:rsidRPr="23486FC0">
        <w:rPr>
          <w:rFonts w:eastAsia="Aptos"/>
          <w:b/>
          <w:bCs/>
          <w:sz w:val="18"/>
          <w:szCs w:val="18"/>
          <w:lang w:val="en-AU"/>
        </w:rPr>
        <w:t>Expressions of interest</w:t>
      </w:r>
      <w:r w:rsidR="00A35E8B">
        <w:rPr>
          <w:rFonts w:eastAsia="Aptos"/>
          <w:b/>
          <w:bCs/>
          <w:sz w:val="18"/>
          <w:szCs w:val="18"/>
          <w:lang w:val="en-AU"/>
        </w:rPr>
        <w:t xml:space="preserve"> (EOI)</w:t>
      </w:r>
      <w:r w:rsidRPr="23486FC0">
        <w:rPr>
          <w:rFonts w:eastAsia="Aptos"/>
          <w:b/>
          <w:bCs/>
          <w:sz w:val="18"/>
          <w:szCs w:val="18"/>
          <w:lang w:val="en-AU"/>
        </w:rPr>
        <w:t>: </w:t>
      </w:r>
      <w:r w:rsidRPr="23486FC0">
        <w:rPr>
          <w:rFonts w:eastAsia="Aptos"/>
          <w:sz w:val="18"/>
          <w:szCs w:val="18"/>
          <w:lang w:val="en-AU"/>
        </w:rPr>
        <w:t> </w:t>
      </w:r>
    </w:p>
    <w:p w14:paraId="5953CA41" w14:textId="252BF502" w:rsidR="00985B7E" w:rsidRPr="00E6109B" w:rsidRDefault="07D5B944" w:rsidP="23486FC0">
      <w:pPr>
        <w:widowControl/>
        <w:autoSpaceDE/>
        <w:autoSpaceDN/>
        <w:spacing w:after="160" w:line="259" w:lineRule="auto"/>
        <w:rPr>
          <w:rFonts w:eastAsia="Aptos"/>
          <w:sz w:val="18"/>
          <w:szCs w:val="18"/>
          <w:lang w:val="en-AU"/>
        </w:rPr>
      </w:pPr>
      <w:r w:rsidRPr="23486FC0">
        <w:rPr>
          <w:rFonts w:eastAsia="Aptos"/>
          <w:sz w:val="18"/>
          <w:szCs w:val="18"/>
          <w:lang w:val="en-AU"/>
        </w:rPr>
        <w:t xml:space="preserve">Organisations or individuals submitting and expression of interest (EOI) to be involved in a project led by another partner should also use the preliminary proposal template </w:t>
      </w:r>
      <w:r w:rsidR="173D9384" w:rsidRPr="23486FC0">
        <w:rPr>
          <w:rFonts w:eastAsia="Aptos"/>
          <w:sz w:val="18"/>
          <w:szCs w:val="18"/>
          <w:lang w:val="en-AU"/>
        </w:rPr>
        <w:t>provided in the ‘submitting proposals’ section below.</w:t>
      </w:r>
      <w:r w:rsidRPr="23486FC0">
        <w:rPr>
          <w:rFonts w:eastAsia="Aptos"/>
          <w:sz w:val="18"/>
          <w:szCs w:val="18"/>
          <w:lang w:val="en-AU"/>
        </w:rPr>
        <w:t xml:space="preserve"> However, only the following sections are required to be complete</w:t>
      </w:r>
      <w:r w:rsidR="3B335AF7" w:rsidRPr="23486FC0">
        <w:rPr>
          <w:rFonts w:eastAsia="Aptos"/>
          <w:sz w:val="18"/>
          <w:szCs w:val="18"/>
          <w:lang w:val="en-AU"/>
        </w:rPr>
        <w:t>d</w:t>
      </w:r>
      <w:r w:rsidRPr="23486FC0">
        <w:rPr>
          <w:rFonts w:eastAsia="Aptos"/>
          <w:sz w:val="18"/>
          <w:szCs w:val="18"/>
          <w:lang w:val="en-AU"/>
        </w:rPr>
        <w:t xml:space="preserve">: </w:t>
      </w:r>
    </w:p>
    <w:p w14:paraId="193DAF9D" w14:textId="68E8E047"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eastAsia="Aptos"/>
          <w:sz w:val="18"/>
          <w:szCs w:val="18"/>
          <w:lang w:val="en-AU"/>
        </w:rPr>
        <w:t xml:space="preserve">Applicant Organisation Details </w:t>
      </w:r>
    </w:p>
    <w:p w14:paraId="266DD8E4" w14:textId="4374EBD8"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 xml:space="preserve">Project Summary </w:t>
      </w:r>
    </w:p>
    <w:p w14:paraId="02919DB4" w14:textId="1E21D592" w:rsidR="00985B7E" w:rsidRPr="00E6109B" w:rsidRDefault="07D5B944" w:rsidP="23486FC0">
      <w:pPr>
        <w:pStyle w:val="ListParagraph"/>
        <w:widowControl/>
        <w:numPr>
          <w:ilvl w:val="2"/>
          <w:numId w:val="25"/>
        </w:numPr>
        <w:autoSpaceDE/>
        <w:autoSpaceDN/>
        <w:spacing w:after="80" w:line="259" w:lineRule="auto"/>
        <w:ind w:hanging="357"/>
        <w:rPr>
          <w:rFonts w:cs="Calibri"/>
          <w:sz w:val="18"/>
          <w:szCs w:val="18"/>
          <w:lang w:val="en-AU"/>
        </w:rPr>
      </w:pPr>
      <w:r w:rsidRPr="23486FC0">
        <w:rPr>
          <w:rFonts w:cs="Calibri"/>
          <w:sz w:val="18"/>
          <w:szCs w:val="18"/>
        </w:rPr>
        <w:t xml:space="preserve">Identify activities within the terms of reference that are of interest. </w:t>
      </w:r>
    </w:p>
    <w:p w14:paraId="7D908917" w14:textId="6E4A8838" w:rsidR="00985B7E" w:rsidRPr="00E6109B" w:rsidRDefault="07D5B944" w:rsidP="23486FC0">
      <w:pPr>
        <w:pStyle w:val="ListParagraph"/>
        <w:widowControl/>
        <w:numPr>
          <w:ilvl w:val="2"/>
          <w:numId w:val="25"/>
        </w:numPr>
        <w:autoSpaceDE/>
        <w:autoSpaceDN/>
        <w:spacing w:after="80" w:line="259" w:lineRule="auto"/>
        <w:ind w:hanging="357"/>
        <w:rPr>
          <w:rFonts w:cs="Calibri"/>
          <w:sz w:val="18"/>
          <w:szCs w:val="18"/>
        </w:rPr>
      </w:pPr>
      <w:r w:rsidRPr="23486FC0">
        <w:rPr>
          <w:rFonts w:cs="Calibri"/>
          <w:sz w:val="18"/>
          <w:szCs w:val="18"/>
        </w:rPr>
        <w:t xml:space="preserve">Identify the region of interest </w:t>
      </w:r>
    </w:p>
    <w:p w14:paraId="53B49012" w14:textId="6644571D"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Purpose and Description</w:t>
      </w:r>
    </w:p>
    <w:p w14:paraId="3E8DB11D" w14:textId="550C2DE6" w:rsidR="00985B7E" w:rsidRPr="00E6109B" w:rsidRDefault="07D5B944" w:rsidP="23486FC0">
      <w:pPr>
        <w:pStyle w:val="ListParagraph"/>
        <w:widowControl/>
        <w:numPr>
          <w:ilvl w:val="2"/>
          <w:numId w:val="25"/>
        </w:numPr>
        <w:autoSpaceDE/>
        <w:autoSpaceDN/>
        <w:spacing w:after="80" w:line="259" w:lineRule="auto"/>
        <w:rPr>
          <w:rFonts w:eastAsia="Aptos"/>
          <w:sz w:val="18"/>
          <w:szCs w:val="18"/>
          <w:lang w:val="en-AU"/>
        </w:rPr>
      </w:pPr>
      <w:r w:rsidRPr="23486FC0">
        <w:rPr>
          <w:rFonts w:eastAsia="Aptos"/>
          <w:sz w:val="18"/>
          <w:szCs w:val="18"/>
          <w:lang w:val="en-AU"/>
        </w:rPr>
        <w:t xml:space="preserve">Briefly describe the activities that you would like to contribute to the call (200 words) </w:t>
      </w:r>
    </w:p>
    <w:p w14:paraId="0ACD3F81" w14:textId="7B7CD996"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Additional Details</w:t>
      </w:r>
    </w:p>
    <w:p w14:paraId="4576144D" w14:textId="2C58A498" w:rsidR="00985B7E" w:rsidRPr="00D30FC5" w:rsidRDefault="07D5B944" w:rsidP="00D30FC5">
      <w:pPr>
        <w:pStyle w:val="ListParagraph"/>
        <w:widowControl/>
        <w:numPr>
          <w:ilvl w:val="2"/>
          <w:numId w:val="25"/>
        </w:numPr>
        <w:autoSpaceDE/>
        <w:autoSpaceDN/>
        <w:spacing w:line="259" w:lineRule="auto"/>
        <w:ind w:hanging="357"/>
        <w:rPr>
          <w:rFonts w:eastAsia="Aptos"/>
          <w:sz w:val="18"/>
          <w:szCs w:val="18"/>
          <w:lang w:val="en-AU"/>
        </w:rPr>
      </w:pPr>
      <w:r w:rsidRPr="23486FC0">
        <w:rPr>
          <w:rFonts w:cs="Calibri"/>
          <w:sz w:val="18"/>
          <w:szCs w:val="18"/>
        </w:rPr>
        <w:t>Include a capability statement and indicate potential resource contribution (cash and or in-kind)</w:t>
      </w:r>
    </w:p>
    <w:p w14:paraId="40B98848" w14:textId="77777777" w:rsidR="00D30FC5" w:rsidRPr="00D30FC5" w:rsidRDefault="00D30FC5" w:rsidP="00D30FC5">
      <w:pPr>
        <w:widowControl/>
        <w:autoSpaceDE/>
        <w:autoSpaceDN/>
        <w:spacing w:after="80" w:line="259" w:lineRule="auto"/>
        <w:rPr>
          <w:rFonts w:eastAsia="Aptos"/>
          <w:sz w:val="18"/>
          <w:szCs w:val="18"/>
          <w:lang w:val="en-AU"/>
        </w:rPr>
      </w:pPr>
    </w:p>
    <w:p w14:paraId="151C6F0C" w14:textId="65378383" w:rsidR="005D2079" w:rsidRPr="009C0DCE" w:rsidRDefault="005D2079" w:rsidP="005D2079">
      <w:pPr>
        <w:widowControl/>
        <w:autoSpaceDE/>
        <w:autoSpaceDN/>
        <w:spacing w:after="160" w:line="259" w:lineRule="auto"/>
        <w:rPr>
          <w:rFonts w:eastAsia="Aptos"/>
          <w:b/>
          <w:bCs/>
          <w:kern w:val="2"/>
          <w:sz w:val="18"/>
          <w:szCs w:val="18"/>
          <w:lang w:val="en-AU"/>
          <w14:ligatures w14:val="standardContextual"/>
        </w:rPr>
      </w:pPr>
      <w:r w:rsidRPr="009C0DCE">
        <w:rPr>
          <w:rFonts w:eastAsia="Aptos"/>
          <w:b/>
          <w:bCs/>
          <w:kern w:val="2"/>
          <w:sz w:val="18"/>
          <w:szCs w:val="18"/>
          <w:lang w:val="en-AU"/>
          <w14:ligatures w14:val="standardContextual"/>
        </w:rPr>
        <w:t>Submitting proposals</w:t>
      </w:r>
      <w:r w:rsidR="43081063" w:rsidRPr="009C0DCE">
        <w:rPr>
          <w:rFonts w:eastAsia="Aptos"/>
          <w:b/>
          <w:bCs/>
          <w:kern w:val="2"/>
          <w:sz w:val="18"/>
          <w:szCs w:val="18"/>
          <w:lang w:val="en-AU"/>
          <w14:ligatures w14:val="standardContextual"/>
        </w:rPr>
        <w:t xml:space="preserve"> and EOIs</w:t>
      </w:r>
    </w:p>
    <w:p w14:paraId="5186CBBD" w14:textId="2B170132" w:rsidR="43081063" w:rsidRDefault="43081063" w:rsidP="23486FC0">
      <w:pPr>
        <w:widowControl/>
        <w:spacing w:after="120" w:line="259" w:lineRule="auto"/>
        <w:rPr>
          <w:rFonts w:eastAsia="Aptos"/>
          <w:sz w:val="18"/>
          <w:szCs w:val="18"/>
          <w:u w:val="single"/>
          <w:lang w:val="en-AU"/>
        </w:rPr>
      </w:pPr>
      <w:r w:rsidRPr="23486FC0">
        <w:rPr>
          <w:rFonts w:eastAsia="Aptos"/>
          <w:sz w:val="18"/>
          <w:szCs w:val="18"/>
          <w:u w:val="single"/>
          <w:lang w:val="en-AU"/>
        </w:rPr>
        <w:t>Preliminary proposals being submitted by lead organisations</w:t>
      </w:r>
    </w:p>
    <w:p w14:paraId="7EDCE065" w14:textId="77777777" w:rsidR="005D2079" w:rsidRPr="009C0DCE" w:rsidRDefault="005D2079" w:rsidP="005D2079">
      <w:pPr>
        <w:widowControl/>
        <w:autoSpaceDE/>
        <w:autoSpaceDN/>
        <w:spacing w:after="12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Three documents must be completed and submitted:</w:t>
      </w:r>
    </w:p>
    <w:p w14:paraId="7A997601" w14:textId="77777777" w:rsidR="005D2079" w:rsidRPr="009C0DCE" w:rsidRDefault="005D2079" w:rsidP="005D2079">
      <w:pPr>
        <w:pStyle w:val="ListParagraph"/>
        <w:widowControl/>
        <w:numPr>
          <w:ilvl w:val="0"/>
          <w:numId w:val="28"/>
        </w:numPr>
        <w:autoSpaceDE/>
        <w:autoSpaceDN/>
        <w:spacing w:after="8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This ‘request for tender’ form</w:t>
      </w:r>
    </w:p>
    <w:p w14:paraId="6C50F32E" w14:textId="77777777" w:rsidR="005D2079" w:rsidRPr="009C0DCE" w:rsidRDefault="005D2079" w:rsidP="005D2079">
      <w:pPr>
        <w:pStyle w:val="ListParagraph"/>
        <w:widowControl/>
        <w:numPr>
          <w:ilvl w:val="0"/>
          <w:numId w:val="28"/>
        </w:numPr>
        <w:autoSpaceDE/>
        <w:autoSpaceDN/>
        <w:spacing w:after="8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 xml:space="preserve">The preliminary proposal template </w:t>
      </w:r>
      <w:hyperlink r:id="rId32" w:history="1">
        <w:r>
          <w:rPr>
            <w:rStyle w:val="Hyperlink"/>
            <w:rFonts w:eastAsia="Aptos"/>
            <w:kern w:val="2"/>
            <w:sz w:val="18"/>
            <w:szCs w:val="18"/>
            <w:lang w:val="en-AU"/>
            <w14:ligatures w14:val="standardContextual"/>
          </w:rPr>
          <w:t>(</w:t>
        </w:r>
        <w:proofErr w:type="spellStart"/>
        <w:r>
          <w:rPr>
            <w:rStyle w:val="Hyperlink"/>
            <w:rFonts w:eastAsia="Aptos"/>
            <w:kern w:val="2"/>
            <w:sz w:val="18"/>
            <w:szCs w:val="18"/>
            <w:lang w:val="en-AU"/>
            <w14:ligatures w14:val="standardContextual"/>
          </w:rPr>
          <w:t>mla</w:t>
        </w:r>
        <w:proofErr w:type="spellEnd"/>
        <w:r>
          <w:rPr>
            <w:rStyle w:val="Hyperlink"/>
            <w:rFonts w:eastAsia="Aptos"/>
            <w:kern w:val="2"/>
            <w:sz w:val="18"/>
            <w:szCs w:val="18"/>
            <w:lang w:val="en-AU"/>
            <w14:ligatures w14:val="standardContextual"/>
          </w:rPr>
          <w:t>-project-funding-application-form)</w:t>
        </w:r>
      </w:hyperlink>
      <w:r>
        <w:rPr>
          <w:rFonts w:eastAsia="Aptos"/>
          <w:kern w:val="2"/>
          <w:sz w:val="18"/>
          <w:szCs w:val="18"/>
          <w:lang w:val="en-AU"/>
          <w14:ligatures w14:val="standardContextual"/>
        </w:rPr>
        <w:t xml:space="preserve">  </w:t>
      </w:r>
    </w:p>
    <w:p w14:paraId="788E1E6C" w14:textId="39852E89" w:rsidR="005D2079" w:rsidRPr="009C0DCE" w:rsidRDefault="005D2079" w:rsidP="005D2079">
      <w:pPr>
        <w:pStyle w:val="ListParagraph"/>
        <w:widowControl/>
        <w:numPr>
          <w:ilvl w:val="0"/>
          <w:numId w:val="28"/>
        </w:numPr>
        <w:autoSpaceDE/>
        <w:autoSpaceDN/>
        <w:spacing w:after="160" w:line="259" w:lineRule="auto"/>
        <w:ind w:left="714" w:hanging="357"/>
        <w:rPr>
          <w:rFonts w:eastAsia="Aptos"/>
          <w:kern w:val="2"/>
          <w:sz w:val="18"/>
          <w:szCs w:val="18"/>
          <w:lang w:val="en-AU"/>
          <w14:ligatures w14:val="standardContextual"/>
        </w:rPr>
      </w:pPr>
      <w:r>
        <w:rPr>
          <w:rFonts w:eastAsia="Aptos"/>
          <w:kern w:val="2"/>
          <w:sz w:val="18"/>
          <w:szCs w:val="18"/>
          <w:lang w:val="en-AU"/>
          <w14:ligatures w14:val="standardContextual"/>
        </w:rPr>
        <w:t>A</w:t>
      </w:r>
      <w:r w:rsidRPr="009C0DCE">
        <w:rPr>
          <w:rFonts w:eastAsia="Aptos"/>
          <w:kern w:val="2"/>
          <w:sz w:val="18"/>
          <w:szCs w:val="18"/>
          <w:lang w:val="en-AU"/>
          <w14:ligatures w14:val="standardContextual"/>
        </w:rPr>
        <w:t xml:space="preserve"> separate excel spreadsheet containing the detailed project budget following the example found </w:t>
      </w:r>
      <w:hyperlink r:id="rId33" w:history="1">
        <w:r w:rsidRPr="00495343">
          <w:rPr>
            <w:rStyle w:val="Hyperlink"/>
            <w:rFonts w:eastAsia="Aptos"/>
            <w:kern w:val="2"/>
            <w:sz w:val="18"/>
            <w:szCs w:val="18"/>
            <w:lang w:val="en-AU"/>
            <w14:ligatures w14:val="standardContextual"/>
          </w:rPr>
          <w:t>here</w:t>
        </w:r>
      </w:hyperlink>
      <w:r w:rsidRPr="00495343">
        <w:rPr>
          <w:rFonts w:eastAsia="Aptos"/>
          <w:kern w:val="2"/>
          <w:sz w:val="18"/>
          <w:szCs w:val="18"/>
          <w:lang w:val="en-AU"/>
          <w14:ligatures w14:val="standardContextual"/>
        </w:rPr>
        <w:t>.</w:t>
      </w:r>
    </w:p>
    <w:p w14:paraId="4890F6A7" w14:textId="60AC76D9" w:rsidR="43FB1C23" w:rsidRDefault="43FB1C23" w:rsidP="23486FC0">
      <w:pPr>
        <w:widowControl/>
        <w:spacing w:after="160" w:line="259" w:lineRule="auto"/>
        <w:rPr>
          <w:sz w:val="18"/>
          <w:szCs w:val="18"/>
          <w:u w:val="single"/>
          <w:lang w:val="en-AU"/>
        </w:rPr>
      </w:pPr>
      <w:r w:rsidRPr="23486FC0">
        <w:rPr>
          <w:sz w:val="18"/>
          <w:szCs w:val="18"/>
          <w:u w:val="single"/>
          <w:lang w:val="en-AU"/>
        </w:rPr>
        <w:t>Expressions of interest</w:t>
      </w:r>
    </w:p>
    <w:p w14:paraId="2DBA0D32" w14:textId="25E42B0B" w:rsidR="43FB1C23" w:rsidRDefault="43FB1C23" w:rsidP="5EE0C8CE">
      <w:pPr>
        <w:widowControl/>
        <w:spacing w:after="160" w:line="259" w:lineRule="auto"/>
        <w:rPr>
          <w:rFonts w:eastAsia="Aptos"/>
          <w:sz w:val="18"/>
          <w:szCs w:val="18"/>
        </w:rPr>
      </w:pPr>
      <w:r w:rsidRPr="5EE0C8CE">
        <w:rPr>
          <w:rFonts w:eastAsia="Aptos"/>
          <w:sz w:val="18"/>
          <w:szCs w:val="18"/>
        </w:rPr>
        <w:t>Only one document should be completed and submitted:</w:t>
      </w:r>
    </w:p>
    <w:p w14:paraId="64EFD5C0" w14:textId="02C22526" w:rsidR="56781458" w:rsidRPr="00D30FC5" w:rsidRDefault="56781458" w:rsidP="5EE0C8CE">
      <w:pPr>
        <w:pStyle w:val="ListParagraph"/>
        <w:widowControl/>
        <w:numPr>
          <w:ilvl w:val="0"/>
          <w:numId w:val="32"/>
        </w:numPr>
        <w:spacing w:after="160" w:line="259" w:lineRule="auto"/>
        <w:rPr>
          <w:rFonts w:eastAsia="Aptos"/>
        </w:rPr>
      </w:pPr>
      <w:r w:rsidRPr="5EE0C8CE">
        <w:rPr>
          <w:rFonts w:eastAsia="Aptos"/>
          <w:sz w:val="18"/>
          <w:szCs w:val="18"/>
        </w:rPr>
        <w:t>The</w:t>
      </w:r>
      <w:r w:rsidR="43FB1C23" w:rsidRPr="5EE0C8CE">
        <w:rPr>
          <w:rFonts w:eastAsia="Aptos"/>
          <w:sz w:val="18"/>
          <w:szCs w:val="18"/>
        </w:rPr>
        <w:t xml:space="preserve"> preliminary proposal template </w:t>
      </w:r>
      <w:hyperlink r:id="rId34">
        <w:r w:rsidR="43FB1C23" w:rsidRPr="5EE0C8CE">
          <w:rPr>
            <w:rStyle w:val="Hyperlink"/>
            <w:rFonts w:eastAsia="Aptos"/>
            <w:sz w:val="18"/>
            <w:szCs w:val="18"/>
          </w:rPr>
          <w:t>(</w:t>
        </w:r>
        <w:proofErr w:type="spellStart"/>
        <w:r w:rsidR="43FB1C23" w:rsidRPr="5EE0C8CE">
          <w:rPr>
            <w:rStyle w:val="Hyperlink"/>
            <w:rFonts w:eastAsia="Aptos"/>
            <w:sz w:val="18"/>
            <w:szCs w:val="18"/>
          </w:rPr>
          <w:t>mla</w:t>
        </w:r>
        <w:proofErr w:type="spellEnd"/>
        <w:r w:rsidR="43FB1C23" w:rsidRPr="5EE0C8CE">
          <w:rPr>
            <w:rStyle w:val="Hyperlink"/>
            <w:rFonts w:eastAsia="Aptos"/>
            <w:sz w:val="18"/>
            <w:szCs w:val="18"/>
          </w:rPr>
          <w:t>-project-funding-application-form),</w:t>
        </w:r>
      </w:hyperlink>
      <w:r w:rsidR="43FB1C23" w:rsidRPr="5EE0C8CE">
        <w:rPr>
          <w:rFonts w:eastAsia="Aptos"/>
          <w:sz w:val="18"/>
          <w:szCs w:val="18"/>
        </w:rPr>
        <w:t xml:space="preserve"> using the instructions given in the EOI section </w:t>
      </w:r>
      <w:r w:rsidR="00815CE5" w:rsidRPr="5EE0C8CE">
        <w:rPr>
          <w:rFonts w:eastAsia="Aptos"/>
          <w:sz w:val="18"/>
          <w:szCs w:val="18"/>
        </w:rPr>
        <w:t>above</w:t>
      </w:r>
      <w:r w:rsidR="43FB1C23" w:rsidRPr="5EE0C8CE">
        <w:rPr>
          <w:rFonts w:eastAsia="Aptos"/>
          <w:sz w:val="18"/>
          <w:szCs w:val="18"/>
        </w:rPr>
        <w:t xml:space="preserve">.  </w:t>
      </w:r>
    </w:p>
    <w:p w14:paraId="46A096F3" w14:textId="2B7B7D5A" w:rsidR="43FB1C23" w:rsidRPr="00A35E8B" w:rsidRDefault="43FB1C23" w:rsidP="00A35E8B">
      <w:pPr>
        <w:widowControl/>
        <w:spacing w:after="160" w:line="259" w:lineRule="auto"/>
        <w:rPr>
          <w:sz w:val="18"/>
          <w:szCs w:val="18"/>
          <w:u w:val="single"/>
          <w:lang w:val="en-AU"/>
        </w:rPr>
      </w:pPr>
      <w:r w:rsidRPr="00A35E8B">
        <w:rPr>
          <w:sz w:val="18"/>
          <w:szCs w:val="18"/>
          <w:u w:val="single"/>
          <w:lang w:val="en-AU"/>
        </w:rPr>
        <w:t>For all preliminary proposals and EOIs</w:t>
      </w:r>
    </w:p>
    <w:p w14:paraId="4D074350" w14:textId="7CBCCDCC" w:rsidR="691760C7" w:rsidRDefault="691760C7" w:rsidP="23486FC0">
      <w:pPr>
        <w:widowControl/>
        <w:spacing w:after="160" w:line="259" w:lineRule="auto"/>
        <w:rPr>
          <w:rFonts w:eastAsia="Aptos"/>
          <w:sz w:val="18"/>
          <w:szCs w:val="18"/>
          <w:lang w:val="en-AU"/>
        </w:rPr>
      </w:pPr>
      <w:r w:rsidRPr="23486FC0">
        <w:rPr>
          <w:rFonts w:eastAsia="Aptos"/>
          <w:sz w:val="18"/>
          <w:szCs w:val="18"/>
          <w:lang w:val="en-AU"/>
        </w:rPr>
        <w:t xml:space="preserve">Submissions for the tender are due: </w:t>
      </w:r>
      <w:r w:rsidRPr="23486FC0">
        <w:rPr>
          <w:rFonts w:eastAsia="Aptos"/>
          <w:b/>
          <w:bCs/>
          <w:sz w:val="18"/>
          <w:szCs w:val="18"/>
          <w:lang w:val="en-AU"/>
        </w:rPr>
        <w:t>5pm AEST Friday 18</w:t>
      </w:r>
      <w:r w:rsidRPr="23486FC0">
        <w:rPr>
          <w:rFonts w:eastAsia="Aptos"/>
          <w:b/>
          <w:bCs/>
          <w:sz w:val="18"/>
          <w:szCs w:val="18"/>
          <w:vertAlign w:val="superscript"/>
          <w:lang w:val="en-AU"/>
        </w:rPr>
        <w:t>th</w:t>
      </w:r>
      <w:r w:rsidRPr="23486FC0">
        <w:rPr>
          <w:rFonts w:eastAsia="Aptos"/>
          <w:b/>
          <w:bCs/>
          <w:sz w:val="18"/>
          <w:szCs w:val="18"/>
          <w:lang w:val="en-AU"/>
        </w:rPr>
        <w:t xml:space="preserve"> July 2025 </w:t>
      </w:r>
      <w:r w:rsidRPr="23486FC0">
        <w:rPr>
          <w:rFonts w:eastAsia="Aptos"/>
          <w:sz w:val="18"/>
          <w:szCs w:val="18"/>
          <w:lang w:val="en-AU"/>
        </w:rPr>
        <w:t> </w:t>
      </w:r>
    </w:p>
    <w:p w14:paraId="18AA99DA" w14:textId="10B0F4B8" w:rsidR="36EE42F0" w:rsidRDefault="36EE42F0" w:rsidP="23486FC0">
      <w:pPr>
        <w:widowControl/>
        <w:spacing w:after="160" w:line="259" w:lineRule="auto"/>
        <w:rPr>
          <w:sz w:val="18"/>
          <w:szCs w:val="18"/>
          <w:lang w:val="en-AU"/>
        </w:rPr>
      </w:pPr>
      <w:r w:rsidRPr="23486FC0">
        <w:rPr>
          <w:sz w:val="18"/>
          <w:szCs w:val="18"/>
          <w:lang w:val="en-AU"/>
        </w:rPr>
        <w:t>Submit proposals</w:t>
      </w:r>
      <w:r w:rsidR="3C91C408" w:rsidRPr="23486FC0">
        <w:rPr>
          <w:sz w:val="18"/>
          <w:szCs w:val="18"/>
          <w:lang w:val="en-AU"/>
        </w:rPr>
        <w:t xml:space="preserve"> and EOIs </w:t>
      </w:r>
      <w:r w:rsidRPr="23486FC0">
        <w:rPr>
          <w:sz w:val="18"/>
          <w:szCs w:val="18"/>
          <w:lang w:val="en-AU"/>
        </w:rPr>
        <w:t xml:space="preserve">electronically to MLA at: </w:t>
      </w:r>
      <w:hyperlink r:id="rId35">
        <w:r w:rsidRPr="23486FC0">
          <w:rPr>
            <w:rStyle w:val="Hyperlink"/>
            <w:color w:val="0000FF"/>
            <w:sz w:val="18"/>
            <w:szCs w:val="18"/>
            <w:lang w:val="en-AU"/>
          </w:rPr>
          <w:t>projectcall@mla.com.au</w:t>
        </w:r>
      </w:hyperlink>
      <w:r w:rsidRPr="23486FC0">
        <w:rPr>
          <w:sz w:val="18"/>
          <w:szCs w:val="18"/>
          <w:lang w:val="en-AU"/>
        </w:rPr>
        <w:t xml:space="preserve"> and copy to </w:t>
      </w:r>
      <w:hyperlink r:id="rId36">
        <w:r w:rsidRPr="23486FC0">
          <w:rPr>
            <w:color w:val="467886"/>
            <w:sz w:val="18"/>
            <w:szCs w:val="18"/>
            <w:u w:val="single"/>
            <w:lang w:val="en-AU"/>
          </w:rPr>
          <w:t>jgebbels@mla.com.au</w:t>
        </w:r>
      </w:hyperlink>
    </w:p>
    <w:p w14:paraId="16605110" w14:textId="59967FAC" w:rsidR="2D4571A6" w:rsidRDefault="2D4571A6" w:rsidP="23486FC0">
      <w:pPr>
        <w:widowControl/>
        <w:spacing w:after="160" w:line="259" w:lineRule="auto"/>
        <w:rPr>
          <w:rFonts w:eastAsia="Aptos"/>
          <w:sz w:val="18"/>
          <w:szCs w:val="18"/>
          <w:lang w:val="en-AU"/>
        </w:rPr>
      </w:pPr>
      <w:r w:rsidRPr="23486FC0">
        <w:rPr>
          <w:rFonts w:eastAsia="Aptos"/>
          <w:sz w:val="18"/>
          <w:szCs w:val="18"/>
          <w:lang w:val="en-AU"/>
        </w:rPr>
        <w:lastRenderedPageBreak/>
        <w:t>Proposals will be acknowledged and recorded on the MLA project information system.</w:t>
      </w:r>
    </w:p>
    <w:p w14:paraId="743A762B" w14:textId="77777777" w:rsidR="2D4571A6" w:rsidRDefault="2D4571A6" w:rsidP="23486FC0">
      <w:pPr>
        <w:widowControl/>
        <w:spacing w:after="160" w:line="259" w:lineRule="auto"/>
        <w:rPr>
          <w:rFonts w:eastAsia="Aptos"/>
          <w:sz w:val="18"/>
          <w:szCs w:val="18"/>
          <w:lang w:val="en-AU"/>
        </w:rPr>
      </w:pPr>
      <w:r w:rsidRPr="23486FC0">
        <w:rPr>
          <w:rFonts w:eastAsia="Aptos"/>
          <w:sz w:val="18"/>
          <w:szCs w:val="18"/>
          <w:lang w:val="en-AU"/>
        </w:rPr>
        <w:t>A review of the submissions will take place as soon as possible after the submission deadline. All tenderers will be notified of the outcome of the tender assessment in writing and successful applicants will be invited to submit a full proposal by MLA. </w:t>
      </w:r>
    </w:p>
    <w:p w14:paraId="33D873DF" w14:textId="77777777" w:rsidR="002D761A" w:rsidRDefault="002D761A" w:rsidP="23486FC0">
      <w:pPr>
        <w:widowControl/>
        <w:spacing w:after="160" w:line="259" w:lineRule="auto"/>
        <w:rPr>
          <w:rFonts w:eastAsia="Aptos"/>
          <w:sz w:val="18"/>
          <w:szCs w:val="18"/>
          <w:lang w:val="en-AU"/>
        </w:rPr>
      </w:pPr>
    </w:p>
    <w:p w14:paraId="2F222716" w14:textId="77777777" w:rsidR="00077B1E" w:rsidRPr="00077B1E" w:rsidRDefault="00077B1E" w:rsidP="00077B1E">
      <w:pPr>
        <w:widowControl/>
        <w:autoSpaceDE/>
        <w:autoSpaceDN/>
        <w:spacing w:after="80" w:line="259" w:lineRule="auto"/>
        <w:rPr>
          <w:rFonts w:eastAsia="Aptos"/>
          <w:b/>
          <w:bCs/>
          <w:kern w:val="2"/>
          <w:sz w:val="18"/>
          <w:szCs w:val="18"/>
          <w:lang w:val="en-AU"/>
          <w14:ligatures w14:val="standardContextual"/>
        </w:rPr>
      </w:pPr>
      <w:r w:rsidRPr="00077B1E">
        <w:rPr>
          <w:rFonts w:eastAsia="Aptos"/>
          <w:b/>
          <w:bCs/>
          <w:kern w:val="2"/>
          <w:sz w:val="18"/>
          <w:szCs w:val="18"/>
          <w:lang w:val="en-AU"/>
          <w14:ligatures w14:val="standardContextual"/>
        </w:rPr>
        <w:t>Further information:</w:t>
      </w:r>
    </w:p>
    <w:p w14:paraId="25D93BED" w14:textId="266B94F0" w:rsid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Joe Gebbels</w:t>
      </w:r>
    </w:p>
    <w:p w14:paraId="38A5B79A" w14:textId="3DCAA773" w:rsid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 xml:space="preserve">Project Manager – Feedbase R&amp;D </w:t>
      </w:r>
    </w:p>
    <w:p w14:paraId="25592D6D" w14:textId="1D277647"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 xml:space="preserve">P: </w:t>
      </w:r>
      <w:r w:rsidR="004A1CEE">
        <w:rPr>
          <w:rFonts w:eastAsia="Aptos"/>
          <w:kern w:val="2"/>
          <w:sz w:val="18"/>
          <w:szCs w:val="18"/>
          <w:lang w:val="en-AU"/>
          <w14:ligatures w14:val="standardContextual"/>
        </w:rPr>
        <w:t>+61 448 273 214</w:t>
      </w:r>
    </w:p>
    <w:p w14:paraId="4B4517B5" w14:textId="1C2FCEE4" w:rsidR="00077B1E" w:rsidRPr="00C51438" w:rsidRDefault="004A1CEE" w:rsidP="00077B1E">
      <w:pPr>
        <w:widowControl/>
        <w:autoSpaceDE/>
        <w:autoSpaceDN/>
        <w:spacing w:after="80" w:line="259" w:lineRule="auto"/>
        <w:rPr>
          <w:rFonts w:eastAsia="Aptos"/>
          <w:kern w:val="2"/>
          <w:sz w:val="18"/>
          <w:szCs w:val="18"/>
          <w:lang w:val="en-AU"/>
          <w14:ligatures w14:val="standardContextual"/>
        </w:rPr>
      </w:pPr>
      <w:r w:rsidRPr="00C51438">
        <w:rPr>
          <w:rFonts w:eastAsia="Aptos"/>
          <w:kern w:val="2"/>
          <w:sz w:val="18"/>
          <w:szCs w:val="18"/>
          <w:lang w:val="en-AU"/>
          <w14:ligatures w14:val="standardContextual"/>
        </w:rPr>
        <w:t xml:space="preserve">E: </w:t>
      </w:r>
      <w:hyperlink r:id="rId37" w:history="1">
        <w:r w:rsidRPr="00C51438">
          <w:rPr>
            <w:rStyle w:val="Hyperlink"/>
            <w:rFonts w:eastAsia="Aptos"/>
            <w:kern w:val="2"/>
            <w:sz w:val="18"/>
            <w:szCs w:val="18"/>
            <w:lang w:val="en-AU"/>
            <w14:ligatures w14:val="standardContextual"/>
          </w:rPr>
          <w:t>jgebbels@mla.com.au</w:t>
        </w:r>
      </w:hyperlink>
      <w:r w:rsidRPr="00C51438">
        <w:rPr>
          <w:rFonts w:eastAsia="Aptos"/>
          <w:kern w:val="2"/>
          <w:sz w:val="18"/>
          <w:szCs w:val="18"/>
          <w:lang w:val="en-AU"/>
          <w14:ligatures w14:val="standardContextual"/>
        </w:rPr>
        <w:t xml:space="preserve"> </w:t>
      </w:r>
    </w:p>
    <w:p w14:paraId="29E109DB" w14:textId="77777777"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sidRPr="00077B1E">
        <w:rPr>
          <w:rFonts w:eastAsia="Aptos"/>
          <w:kern w:val="2"/>
          <w:sz w:val="18"/>
          <w:szCs w:val="18"/>
          <w:lang w:val="en-AU"/>
          <w14:ligatures w14:val="standardContextual"/>
        </w:rPr>
        <w:t xml:space="preserve">Research &amp; Development </w:t>
      </w:r>
    </w:p>
    <w:p w14:paraId="2014A4F6" w14:textId="7A653906"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sidRPr="00077B1E">
        <w:rPr>
          <w:rFonts w:eastAsia="Aptos"/>
          <w:kern w:val="2"/>
          <w:sz w:val="18"/>
          <w:szCs w:val="18"/>
          <w:lang w:val="en-AU"/>
          <w14:ligatures w14:val="standardContextual"/>
        </w:rPr>
        <w:t>Meat &amp; Livestock Australia</w:t>
      </w:r>
    </w:p>
    <w:p w14:paraId="2642F2B9" w14:textId="77777777" w:rsidR="00E6109B" w:rsidRDefault="00E6109B" w:rsidP="00E6109B">
      <w:pPr>
        <w:pStyle w:val="ListParagraph"/>
        <w:widowControl/>
        <w:autoSpaceDE/>
        <w:autoSpaceDN/>
        <w:spacing w:after="80" w:line="259" w:lineRule="auto"/>
        <w:ind w:left="2160" w:firstLine="0"/>
        <w:rPr>
          <w:rFonts w:eastAsia="Aptos"/>
          <w:kern w:val="2"/>
          <w:sz w:val="18"/>
          <w:szCs w:val="18"/>
          <w:lang w:val="en-AU"/>
          <w14:ligatures w14:val="standardContextual"/>
        </w:rPr>
      </w:pPr>
    </w:p>
    <w:p w14:paraId="6BAC20D4" w14:textId="77777777" w:rsidR="00985B7E" w:rsidRPr="0035638B" w:rsidRDefault="00985B7E" w:rsidP="00985B7E">
      <w:pPr>
        <w:widowControl/>
        <w:autoSpaceDE/>
        <w:autoSpaceDN/>
        <w:spacing w:after="160" w:line="259" w:lineRule="auto"/>
        <w:rPr>
          <w:rFonts w:eastAsia="Aptos"/>
          <w:b/>
          <w:bCs/>
          <w:kern w:val="2"/>
          <w:sz w:val="18"/>
          <w:szCs w:val="18"/>
          <w:lang w:val="en-AU"/>
          <w14:ligatures w14:val="standardContextual"/>
        </w:rPr>
      </w:pPr>
      <w:r w:rsidRPr="0035638B">
        <w:rPr>
          <w:rFonts w:eastAsia="Aptos"/>
          <w:b/>
          <w:bCs/>
          <w:kern w:val="2"/>
          <w:sz w:val="18"/>
          <w:szCs w:val="18"/>
          <w:lang w:val="en-AU"/>
          <w14:ligatures w14:val="standardContextual"/>
        </w:rPr>
        <w:t xml:space="preserve">References </w:t>
      </w:r>
    </w:p>
    <w:p w14:paraId="45744500"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fldChar w:fldCharType="begin"/>
      </w:r>
      <w:r w:rsidRPr="0035638B">
        <w:rPr>
          <w:rFonts w:eastAsia="Aptos"/>
          <w:noProof/>
          <w:kern w:val="2"/>
          <w:sz w:val="19"/>
          <w:szCs w:val="19"/>
          <w14:ligatures w14:val="standardContextual"/>
        </w:rPr>
        <w:instrText xml:space="preserve"> ADDIN EN.REFLIST </w:instrText>
      </w:r>
      <w:r w:rsidRPr="0035638B">
        <w:rPr>
          <w:rFonts w:eastAsia="Aptos"/>
          <w:noProof/>
          <w:kern w:val="2"/>
          <w:sz w:val="19"/>
          <w:szCs w:val="19"/>
          <w14:ligatures w14:val="standardContextual"/>
        </w:rPr>
        <w:fldChar w:fldCharType="separate"/>
      </w:r>
      <w:r w:rsidRPr="0035638B">
        <w:rPr>
          <w:rFonts w:eastAsia="Aptos"/>
          <w:noProof/>
          <w:kern w:val="2"/>
          <w:sz w:val="19"/>
          <w:szCs w:val="19"/>
          <w14:ligatures w14:val="standardContextual"/>
        </w:rPr>
        <w:t xml:space="preserve">Bell, L. W., &amp; Moore, A. D. (2012). Integrated crop–livestock systems in Australian agriculture: Trends, drivers and implications. </w:t>
      </w:r>
      <w:r w:rsidRPr="0035638B">
        <w:rPr>
          <w:rFonts w:eastAsia="Aptos"/>
          <w:i/>
          <w:noProof/>
          <w:kern w:val="2"/>
          <w:sz w:val="19"/>
          <w:szCs w:val="19"/>
          <w14:ligatures w14:val="standardContextual"/>
        </w:rPr>
        <w:t>Agricultural Systems</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111</w:t>
      </w:r>
      <w:r w:rsidRPr="0035638B">
        <w:rPr>
          <w:rFonts w:eastAsia="Aptos"/>
          <w:noProof/>
          <w:kern w:val="2"/>
          <w:sz w:val="19"/>
          <w:szCs w:val="19"/>
          <w14:ligatures w14:val="standardContextual"/>
        </w:rPr>
        <w:t xml:space="preserve">, 1-12. </w:t>
      </w:r>
      <w:hyperlink r:id="rId38" w:history="1">
        <w:r w:rsidRPr="0035638B">
          <w:rPr>
            <w:rFonts w:eastAsia="Aptos"/>
            <w:noProof/>
            <w:color w:val="467886"/>
            <w:kern w:val="2"/>
            <w:sz w:val="19"/>
            <w:szCs w:val="19"/>
            <w:u w:val="single"/>
            <w14:ligatures w14:val="standardContextual"/>
          </w:rPr>
          <w:t>https://doi.org/https://doi.org/10.1016/j.agsy.2012.04.003</w:t>
        </w:r>
      </w:hyperlink>
      <w:r w:rsidRPr="0035638B">
        <w:rPr>
          <w:rFonts w:eastAsia="Aptos"/>
          <w:noProof/>
          <w:kern w:val="2"/>
          <w:sz w:val="19"/>
          <w:szCs w:val="19"/>
          <w14:ligatures w14:val="standardContextual"/>
        </w:rPr>
        <w:t xml:space="preserve"> </w:t>
      </w:r>
    </w:p>
    <w:p w14:paraId="1887DEB4"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Gobbett, D. L., Nidumolu, U., Jin, H., Hayman, P., &amp; Gallant, J. (2021). Minimum temperature mapping augments Australian grain farmers’ knowledge of frost. </w:t>
      </w:r>
      <w:r w:rsidRPr="0035638B">
        <w:rPr>
          <w:rFonts w:eastAsia="Aptos"/>
          <w:i/>
          <w:noProof/>
          <w:kern w:val="2"/>
          <w:sz w:val="19"/>
          <w:szCs w:val="19"/>
          <w14:ligatures w14:val="standardContextual"/>
        </w:rPr>
        <w:t>Agricultural and Forest Meteorology</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304-305</w:t>
      </w:r>
      <w:r w:rsidRPr="0035638B">
        <w:rPr>
          <w:rFonts w:eastAsia="Aptos"/>
          <w:noProof/>
          <w:kern w:val="2"/>
          <w:sz w:val="19"/>
          <w:szCs w:val="19"/>
          <w14:ligatures w14:val="standardContextual"/>
        </w:rPr>
        <w:t xml:space="preserve">, 108422. </w:t>
      </w:r>
      <w:hyperlink r:id="rId39" w:history="1">
        <w:r w:rsidRPr="0035638B">
          <w:rPr>
            <w:rFonts w:eastAsia="Aptos"/>
            <w:noProof/>
            <w:color w:val="467886"/>
            <w:kern w:val="2"/>
            <w:sz w:val="19"/>
            <w:szCs w:val="19"/>
            <w:u w:val="single"/>
            <w14:ligatures w14:val="standardContextual"/>
          </w:rPr>
          <w:t>https://doi.org/https://doi.org/10.1016/j.agrformet.2021.108422</w:t>
        </w:r>
      </w:hyperlink>
      <w:r w:rsidRPr="0035638B">
        <w:rPr>
          <w:rFonts w:eastAsia="Aptos"/>
          <w:noProof/>
          <w:kern w:val="2"/>
          <w:sz w:val="19"/>
          <w:szCs w:val="19"/>
          <w14:ligatures w14:val="standardContextual"/>
        </w:rPr>
        <w:t xml:space="preserve"> </w:t>
      </w:r>
    </w:p>
    <w:p w14:paraId="2F7760BB"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GRDC. (2016). </w:t>
      </w:r>
      <w:r w:rsidRPr="0035638B">
        <w:rPr>
          <w:rFonts w:eastAsia="Aptos"/>
          <w:i/>
          <w:noProof/>
          <w:kern w:val="2"/>
          <w:sz w:val="19"/>
          <w:szCs w:val="19"/>
          <w14:ligatures w14:val="standardContextual"/>
        </w:rPr>
        <w:t xml:space="preserve">Managing frost risk - Case studies of growers in Western Australia </w:t>
      </w:r>
      <w:hyperlink r:id="rId40" w:history="1">
        <w:r w:rsidRPr="0035638B">
          <w:rPr>
            <w:rFonts w:eastAsia="Aptos"/>
            <w:noProof/>
            <w:color w:val="467886"/>
            <w:kern w:val="2"/>
            <w:sz w:val="19"/>
            <w:szCs w:val="19"/>
            <w:u w:val="single"/>
            <w14:ligatures w14:val="standardContextual"/>
          </w:rPr>
          <w:t>https://grdc.com.au/__data/assets/pdf_file/0027/60984/managing_frost_risk_web.pdf.pdf</w:t>
        </w:r>
      </w:hyperlink>
    </w:p>
    <w:p w14:paraId="11C6A866" w14:textId="16A5DCA3"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GRM International Pty Ltd. (1997). </w:t>
      </w:r>
      <w:r w:rsidRPr="0035638B">
        <w:rPr>
          <w:rFonts w:eastAsia="Aptos"/>
          <w:i/>
          <w:noProof/>
          <w:kern w:val="2"/>
          <w:sz w:val="19"/>
          <w:szCs w:val="19"/>
          <w14:ligatures w14:val="standardContextual"/>
        </w:rPr>
        <w:t xml:space="preserve">High ME Silages - as an alterantive feed source for the Australian Feedlot Industry </w:t>
      </w:r>
      <w:r w:rsidRPr="0035638B">
        <w:rPr>
          <w:rFonts w:eastAsia="Aptos"/>
          <w:noProof/>
          <w:kern w:val="2"/>
          <w:sz w:val="19"/>
          <w:szCs w:val="19"/>
          <w14:ligatures w14:val="standardContextual"/>
        </w:rPr>
        <w:t xml:space="preserve">M. a. L. Australia. </w:t>
      </w:r>
      <w:r w:rsidRPr="0035638B">
        <w:rPr>
          <w:rFonts w:eastAsia="Aptos"/>
          <w:noProof/>
          <w:color w:val="467886"/>
          <w:kern w:val="2"/>
          <w:sz w:val="19"/>
          <w:szCs w:val="19"/>
          <w:u w:val="single"/>
          <w14:ligatures w14:val="standardContextual"/>
        </w:rPr>
        <w:t>https://www.mla.com.au/contentassets/88f7ba1e3d4146</w:t>
      </w:r>
      <w:r w:rsidR="00EF40FB" w:rsidRPr="0035638B">
        <w:rPr>
          <w:rFonts w:eastAsia="Aptos"/>
          <w:noProof/>
          <w:color w:val="467886"/>
          <w:kern w:val="2"/>
          <w:sz w:val="19"/>
          <w:szCs w:val="19"/>
          <w:u w:val="single"/>
          <w14:ligatures w14:val="standardContextual"/>
        </w:rPr>
        <w:t xml:space="preserve"> </w:t>
      </w:r>
      <w:r w:rsidRPr="0035638B">
        <w:rPr>
          <w:rFonts w:eastAsia="Aptos"/>
          <w:noProof/>
          <w:color w:val="467886"/>
          <w:kern w:val="2"/>
          <w:sz w:val="19"/>
          <w:szCs w:val="19"/>
          <w:u w:val="single"/>
          <w14:ligatures w14:val="standardContextual"/>
        </w:rPr>
        <w:t>f5a2be3bd3ab6df6bb/flot.103_final_report.pdf</w:t>
      </w:r>
    </w:p>
    <w:p w14:paraId="0D3708F4"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Grower Group Alliance. (2024). In </w:t>
      </w:r>
      <w:r w:rsidRPr="0035638B">
        <w:rPr>
          <w:rFonts w:eastAsia="Aptos"/>
          <w:i/>
          <w:noProof/>
          <w:kern w:val="2"/>
          <w:sz w:val="19"/>
          <w:szCs w:val="19"/>
          <w14:ligatures w14:val="standardContextual"/>
        </w:rPr>
        <w:t xml:space="preserve">Silage, is it all it's wrapped up to be? </w:t>
      </w:r>
      <w:r w:rsidRPr="0035638B">
        <w:rPr>
          <w:rFonts w:eastAsia="Aptos"/>
          <w:noProof/>
          <w:kern w:val="2"/>
          <w:sz w:val="19"/>
          <w:szCs w:val="19"/>
          <w14:ligatures w14:val="standardContextual"/>
        </w:rPr>
        <w:t xml:space="preserve">. </w:t>
      </w:r>
      <w:hyperlink r:id="rId41" w:history="1">
        <w:r w:rsidRPr="0035638B">
          <w:rPr>
            <w:rFonts w:eastAsia="Aptos"/>
            <w:noProof/>
            <w:color w:val="467886"/>
            <w:kern w:val="2"/>
            <w:sz w:val="19"/>
            <w:szCs w:val="19"/>
            <w:u w:val="single"/>
            <w14:ligatures w14:val="standardContextual"/>
          </w:rPr>
          <w:t>https://hub.gga.org.au/podcast/silage-is-it-all-its-wrapped-up-to-be/</w:t>
        </w:r>
      </w:hyperlink>
    </w:p>
    <w:p w14:paraId="135F3F73"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Masters, D., Chen, C., Fletcher, A., Peggs, A. and Norman, H. . (2025). </w:t>
      </w:r>
      <w:r w:rsidRPr="0035638B">
        <w:rPr>
          <w:rFonts w:eastAsia="Aptos"/>
          <w:i/>
          <w:noProof/>
          <w:kern w:val="2"/>
          <w:sz w:val="19"/>
          <w:szCs w:val="19"/>
          <w14:ligatures w14:val="standardContextual"/>
        </w:rPr>
        <w:t>​Climate ready mixed systems – low and medium rainfall farming (project code L.MXF.0003)</w:t>
      </w:r>
      <w:r w:rsidRPr="0035638B">
        <w:rPr>
          <w:rFonts w:eastAsia="Aptos"/>
          <w:noProof/>
          <w:kern w:val="2"/>
          <w:sz w:val="19"/>
          <w:szCs w:val="19"/>
          <w14:ligatures w14:val="standardContextual"/>
        </w:rPr>
        <w:t xml:space="preserve">. Meat &amp; Livestock Australia. </w:t>
      </w:r>
    </w:p>
    <w:p w14:paraId="72790E38" w14:textId="1E85CF5F" w:rsidR="00985B7E" w:rsidRPr="0035638B" w:rsidRDefault="00985B7E" w:rsidP="00AD72E2">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Perry, E. M., Nuttall, J. G., Wallace, A. J., &amp; Fitzgerald, G. J. (2017). In-field methods for rapid detection of frost damage in Australian dryland wheat during the reproductive and grain-filling phase. </w:t>
      </w:r>
      <w:r w:rsidRPr="0035638B">
        <w:rPr>
          <w:rFonts w:eastAsia="Aptos"/>
          <w:i/>
          <w:noProof/>
          <w:kern w:val="2"/>
          <w:sz w:val="19"/>
          <w:szCs w:val="19"/>
          <w14:ligatures w14:val="standardContextual"/>
        </w:rPr>
        <w:t>Crop and Pasture Science</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68</w:t>
      </w:r>
      <w:r w:rsidRPr="0035638B">
        <w:rPr>
          <w:rFonts w:eastAsia="Aptos"/>
          <w:noProof/>
          <w:kern w:val="2"/>
          <w:sz w:val="19"/>
          <w:szCs w:val="19"/>
          <w14:ligatures w14:val="standardContextual"/>
        </w:rPr>
        <w:t xml:space="preserve">(6), 516-526. </w:t>
      </w:r>
      <w:hyperlink r:id="rId42" w:history="1">
        <w:r w:rsidRPr="0035638B">
          <w:rPr>
            <w:rFonts w:eastAsia="Aptos"/>
            <w:noProof/>
            <w:color w:val="467886"/>
            <w:kern w:val="2"/>
            <w:sz w:val="19"/>
            <w:szCs w:val="19"/>
            <w:u w:val="single"/>
            <w14:ligatures w14:val="standardContextual"/>
          </w:rPr>
          <w:t>https://doi.org/https://doi.org/10.1071/CP17135</w:t>
        </w:r>
      </w:hyperlink>
      <w:r w:rsidRPr="0035638B">
        <w:rPr>
          <w:rFonts w:eastAsia="Aptos"/>
          <w:noProof/>
          <w:kern w:val="2"/>
          <w:sz w:val="19"/>
          <w:szCs w:val="19"/>
          <w14:ligatures w14:val="standardContextual"/>
        </w:rPr>
        <w:t xml:space="preserve"> </w:t>
      </w:r>
    </w:p>
    <w:p w14:paraId="46F0BA10" w14:textId="1A32BF13" w:rsidR="006429E4" w:rsidRPr="0035638B" w:rsidRDefault="00985B7E" w:rsidP="0035638B">
      <w:pPr>
        <w:widowControl/>
        <w:autoSpaceDE/>
        <w:autoSpaceDN/>
        <w:spacing w:line="259" w:lineRule="auto"/>
        <w:rPr>
          <w:rFonts w:ascii="Calibri" w:eastAsia="Aptos" w:hAnsi="Calibri" w:cs="Times New Roman"/>
          <w:kern w:val="2"/>
          <w:sz w:val="24"/>
          <w:szCs w:val="24"/>
          <w:lang w:val="en-AU"/>
          <w14:ligatures w14:val="standardContextual"/>
        </w:rPr>
        <w:sectPr w:rsidR="006429E4" w:rsidRPr="0035638B">
          <w:headerReference w:type="default" r:id="rId43"/>
          <w:pgSz w:w="12240" w:h="15840"/>
          <w:pgMar w:top="1540" w:right="1500" w:bottom="860" w:left="1700" w:header="0" w:footer="662" w:gutter="0"/>
          <w:cols w:space="720"/>
          <w:formProt w:val="0"/>
        </w:sectPr>
      </w:pPr>
      <w:r w:rsidRPr="0035638B">
        <w:rPr>
          <w:rFonts w:eastAsia="Aptos"/>
          <w:kern w:val="2"/>
          <w:sz w:val="19"/>
          <w:szCs w:val="19"/>
          <w:lang w:val="en-AU"/>
          <w14:ligatures w14:val="standardContextual"/>
        </w:rPr>
        <w:fldChar w:fldCharType="end"/>
      </w:r>
    </w:p>
    <w:p w14:paraId="46F0BA11" w14:textId="77777777" w:rsidR="00387406" w:rsidRDefault="00DB7B9E">
      <w:pPr>
        <w:pStyle w:val="Heading2"/>
        <w:spacing w:before="149"/>
        <w:ind w:left="34" w:right="196"/>
        <w:jc w:val="center"/>
      </w:pPr>
      <w:bookmarkStart w:id="0"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0"/>
      <w:r>
        <w:rPr>
          <w:color w:val="030303"/>
          <w:spacing w:val="-2"/>
        </w:rPr>
        <w:t>TERMS</w:t>
      </w:r>
    </w:p>
    <w:p w14:paraId="46F0BA12" w14:textId="77777777" w:rsidR="00387406" w:rsidRDefault="00387406">
      <w:pPr>
        <w:pStyle w:val="BodyText"/>
        <w:spacing w:before="62"/>
        <w:rPr>
          <w:b/>
        </w:rPr>
      </w:pPr>
    </w:p>
    <w:p w14:paraId="46F0BA13" w14:textId="7789A974"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183B893"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44">
        <w:r>
          <w:rPr>
            <w:color w:val="0101FF"/>
            <w:w w:val="110"/>
            <w:u w:val="single" w:color="0000FF"/>
          </w:rPr>
          <w:t>https://www.mla.com.au/about-mla/mla­</w:t>
        </w:r>
      </w:hyperlink>
      <w:r>
        <w:rPr>
          <w:color w:val="0101FF"/>
          <w:w w:val="110"/>
        </w:rPr>
        <w:t xml:space="preserve"> </w:t>
      </w:r>
      <w:hyperlink r:id="rId45">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46"/>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1" w:name="_TOC_250006"/>
      <w:r>
        <w:rPr>
          <w:color w:val="030303"/>
        </w:rPr>
        <w:t>For</w:t>
      </w:r>
      <w:r>
        <w:rPr>
          <w:color w:val="030303"/>
          <w:spacing w:val="-7"/>
        </w:rPr>
        <w:t xml:space="preserve"> </w:t>
      </w:r>
      <w:r>
        <w:rPr>
          <w:color w:val="030303"/>
        </w:rPr>
        <w:t xml:space="preserve">corporate </w:t>
      </w:r>
      <w:bookmarkEnd w:id="1"/>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proofErr w:type="spellStart"/>
      <w:r>
        <w:rPr>
          <w:color w:val="030303"/>
          <w:w w:val="105"/>
        </w:rPr>
        <w:t>authorised</w:t>
      </w:r>
      <w:proofErr w:type="spellEnd"/>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47"/>
          <w:footerReference w:type="default" r:id="rId48"/>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2"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2"/>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w:t>
      </w:r>
      <w:proofErr w:type="gramStart"/>
      <w:r>
        <w:rPr>
          <w:color w:val="030303"/>
          <w:w w:val="105"/>
        </w:rPr>
        <w:t>has</w:t>
      </w:r>
      <w:proofErr w:type="gramEnd"/>
      <w:r>
        <w:rPr>
          <w:color w:val="030303"/>
          <w:w w:val="105"/>
        </w:rPr>
        <w:t xml:space="preserve">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 xml:space="preserve">would </w:t>
      </w:r>
      <w:proofErr w:type="gramStart"/>
      <w:r>
        <w:rPr>
          <w:color w:val="030303"/>
          <w:w w:val="105"/>
        </w:rPr>
        <w:t>pay</w:t>
      </w:r>
      <w:r>
        <w:rPr>
          <w:color w:val="030303"/>
          <w:spacing w:val="-4"/>
          <w:w w:val="105"/>
        </w:rPr>
        <w:t xml:space="preserve"> </w:t>
      </w:r>
      <w:r>
        <w:rPr>
          <w:color w:val="030303"/>
          <w:w w:val="105"/>
        </w:rPr>
        <w:t>to</w:t>
      </w:r>
      <w:proofErr w:type="gramEnd"/>
      <w:r>
        <w:rPr>
          <w:color w:val="030303"/>
          <w:spacing w:val="25"/>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9"/>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3"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3"/>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4"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4"/>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6326B9"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6326B9"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6326B9"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6326B9"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6326B9"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6326B9"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6326B9"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6326B9"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6326B9"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6326B9"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6326B9"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6326B9"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6326B9"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6326B9"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6326B9"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6326B9"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6326B9"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6326B9"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6326B9"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5" w:name="_TOC_250002"/>
      <w:r>
        <w:rPr>
          <w:color w:val="010101"/>
        </w:rPr>
        <w:t>Gifts</w:t>
      </w:r>
      <w:r>
        <w:rPr>
          <w:color w:val="010101"/>
          <w:spacing w:val="-5"/>
        </w:rPr>
        <w:t xml:space="preserve"> </w:t>
      </w:r>
      <w:r>
        <w:rPr>
          <w:color w:val="010101"/>
        </w:rPr>
        <w:t>or</w:t>
      </w:r>
      <w:r>
        <w:rPr>
          <w:color w:val="010101"/>
          <w:spacing w:val="-8"/>
        </w:rPr>
        <w:t xml:space="preserve"> </w:t>
      </w:r>
      <w:bookmarkEnd w:id="5"/>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50"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1"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6"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6"/>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2"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3"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4"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6326B9">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6326B9">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6326B9">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6326B9">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6326B9">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6326B9">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6326B9">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6326B9">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6326B9">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7"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7"/>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784882E"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9A67A48"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proofErr w:type="spellStart"/>
      <w:r>
        <w:rPr>
          <w:color w:val="030303"/>
        </w:rPr>
        <w:t>labour</w:t>
      </w:r>
      <w:proofErr w:type="spellEnd"/>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proofErr w:type="spellStart"/>
      <w:r>
        <w:rPr>
          <w:color w:val="030303"/>
        </w:rPr>
        <w:t>labour</w:t>
      </w:r>
      <w:proofErr w:type="spellEnd"/>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w:t>
      </w:r>
      <w:proofErr w:type="spellStart"/>
      <w:r>
        <w:rPr>
          <w:color w:val="030303"/>
        </w:rPr>
        <w:t>Cth</w:t>
      </w:r>
      <w:proofErr w:type="spellEnd"/>
      <w:r>
        <w:rPr>
          <w:color w:val="030303"/>
        </w:rPr>
        <w:t>).</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 xml:space="preserve">on how your </w:t>
      </w:r>
      <w:proofErr w:type="spellStart"/>
      <w:r>
        <w:rPr>
          <w:i/>
          <w:color w:val="030303"/>
          <w:w w:val="105"/>
          <w:sz w:val="18"/>
        </w:rPr>
        <w:t>organisation</w:t>
      </w:r>
      <w:proofErr w:type="spellEnd"/>
      <w:r>
        <w:rPr>
          <w:i/>
          <w:color w:val="030303"/>
          <w:w w:val="105"/>
          <w:sz w:val="18"/>
        </w:rPr>
        <w:t xml:space="preserve">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55">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w:t>
            </w:r>
            <w:proofErr w:type="spellStart"/>
            <w:r>
              <w:rPr>
                <w:color w:val="030303"/>
                <w:w w:val="105"/>
              </w:rPr>
              <w:t>Cth</w:t>
            </w:r>
            <w:proofErr w:type="spellEnd"/>
            <w:r>
              <w:rPr>
                <w:color w:val="030303"/>
                <w:w w:val="105"/>
              </w:rPr>
              <w:t>)</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6326B9">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6326B9">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6326B9">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w:t>
            </w:r>
            <w:proofErr w:type="spellStart"/>
            <w:r>
              <w:rPr>
                <w:color w:val="030303"/>
                <w:w w:val="105"/>
              </w:rPr>
              <w:t>labour</w:t>
            </w:r>
            <w:proofErr w:type="spellEnd"/>
            <w:r>
              <w:rPr>
                <w:color w:val="030303"/>
                <w:w w:val="105"/>
              </w:rPr>
              <w:t xml:space="preserve">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6326B9">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6326B9">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6326B9">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6326B9">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6326B9">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6326B9">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56"/>
          <w:footerReference w:type="default" r:id="rId57"/>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8"/>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CA3A" w14:textId="77777777" w:rsidR="00D94FFC" w:rsidRDefault="00D94FFC">
      <w:r>
        <w:separator/>
      </w:r>
    </w:p>
  </w:endnote>
  <w:endnote w:type="continuationSeparator" w:id="0">
    <w:p w14:paraId="1DE9A3C6" w14:textId="77777777" w:rsidR="00D94FFC" w:rsidRDefault="00D94FFC">
      <w:r>
        <w:continuationSeparator/>
      </w:r>
    </w:p>
  </w:endnote>
  <w:endnote w:type="continuationNotice" w:id="1">
    <w:p w14:paraId="5ADBA005" w14:textId="77777777" w:rsidR="00D94FFC" w:rsidRDefault="00D9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661B" w14:textId="77777777" w:rsidR="00D94FFC" w:rsidRDefault="00D94FFC">
      <w:r>
        <w:separator/>
      </w:r>
    </w:p>
  </w:footnote>
  <w:footnote w:type="continuationSeparator" w:id="0">
    <w:p w14:paraId="2ED0DE14" w14:textId="77777777" w:rsidR="00D94FFC" w:rsidRDefault="00D94FFC">
      <w:r>
        <w:continuationSeparator/>
      </w:r>
    </w:p>
  </w:footnote>
  <w:footnote w:type="continuationNotice" w:id="1">
    <w:p w14:paraId="5FE1D804" w14:textId="77777777" w:rsidR="00D94FFC" w:rsidRDefault="00D94F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A5A"/>
    <w:multiLevelType w:val="multilevel"/>
    <w:tmpl w:val="30F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2DA8F386"/>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b w:val="0"/>
        <w:bCs w:val="0"/>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7783DAC"/>
    <w:multiLevelType w:val="multilevel"/>
    <w:tmpl w:val="52B68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F130F1"/>
    <w:multiLevelType w:val="hybridMultilevel"/>
    <w:tmpl w:val="8DDA4BC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6" w15:restartNumberingAfterBreak="0">
    <w:nsid w:val="172A795E"/>
    <w:multiLevelType w:val="hybridMultilevel"/>
    <w:tmpl w:val="47D8849C"/>
    <w:lvl w:ilvl="0" w:tplc="F1BC73F2">
      <w:start w:val="1"/>
      <w:numFmt w:val="bullet"/>
      <w:lvlText w:val="·"/>
      <w:lvlJc w:val="left"/>
      <w:pPr>
        <w:ind w:left="720" w:hanging="360"/>
      </w:pPr>
      <w:rPr>
        <w:rFonts w:ascii="Symbol" w:hAnsi="Symbol" w:hint="default"/>
      </w:rPr>
    </w:lvl>
    <w:lvl w:ilvl="1" w:tplc="A00C8B1A">
      <w:start w:val="1"/>
      <w:numFmt w:val="bullet"/>
      <w:lvlText w:val="o"/>
      <w:lvlJc w:val="left"/>
      <w:pPr>
        <w:ind w:left="1440" w:hanging="360"/>
      </w:pPr>
      <w:rPr>
        <w:rFonts w:ascii="Symbol" w:hAnsi="Symbol" w:hint="default"/>
      </w:rPr>
    </w:lvl>
    <w:lvl w:ilvl="2" w:tplc="FA9489F6">
      <w:start w:val="1"/>
      <w:numFmt w:val="bullet"/>
      <w:lvlText w:val=""/>
      <w:lvlJc w:val="left"/>
      <w:pPr>
        <w:ind w:left="2160" w:hanging="360"/>
      </w:pPr>
      <w:rPr>
        <w:rFonts w:ascii="Wingdings" w:hAnsi="Wingdings" w:hint="default"/>
      </w:rPr>
    </w:lvl>
    <w:lvl w:ilvl="3" w:tplc="4E5A4038">
      <w:start w:val="1"/>
      <w:numFmt w:val="bullet"/>
      <w:lvlText w:val=""/>
      <w:lvlJc w:val="left"/>
      <w:pPr>
        <w:ind w:left="2880" w:hanging="360"/>
      </w:pPr>
      <w:rPr>
        <w:rFonts w:ascii="Symbol" w:hAnsi="Symbol" w:hint="default"/>
      </w:rPr>
    </w:lvl>
    <w:lvl w:ilvl="4" w:tplc="F3349268">
      <w:start w:val="1"/>
      <w:numFmt w:val="bullet"/>
      <w:lvlText w:val="o"/>
      <w:lvlJc w:val="left"/>
      <w:pPr>
        <w:ind w:left="3600" w:hanging="360"/>
      </w:pPr>
      <w:rPr>
        <w:rFonts w:ascii="Courier New" w:hAnsi="Courier New" w:hint="default"/>
      </w:rPr>
    </w:lvl>
    <w:lvl w:ilvl="5" w:tplc="49B2A362">
      <w:start w:val="1"/>
      <w:numFmt w:val="bullet"/>
      <w:lvlText w:val=""/>
      <w:lvlJc w:val="left"/>
      <w:pPr>
        <w:ind w:left="4320" w:hanging="360"/>
      </w:pPr>
      <w:rPr>
        <w:rFonts w:ascii="Wingdings" w:hAnsi="Wingdings" w:hint="default"/>
      </w:rPr>
    </w:lvl>
    <w:lvl w:ilvl="6" w:tplc="72664844">
      <w:start w:val="1"/>
      <w:numFmt w:val="bullet"/>
      <w:lvlText w:val=""/>
      <w:lvlJc w:val="left"/>
      <w:pPr>
        <w:ind w:left="5040" w:hanging="360"/>
      </w:pPr>
      <w:rPr>
        <w:rFonts w:ascii="Symbol" w:hAnsi="Symbol" w:hint="default"/>
      </w:rPr>
    </w:lvl>
    <w:lvl w:ilvl="7" w:tplc="CAB0616C">
      <w:start w:val="1"/>
      <w:numFmt w:val="bullet"/>
      <w:lvlText w:val="o"/>
      <w:lvlJc w:val="left"/>
      <w:pPr>
        <w:ind w:left="5760" w:hanging="360"/>
      </w:pPr>
      <w:rPr>
        <w:rFonts w:ascii="Courier New" w:hAnsi="Courier New" w:hint="default"/>
      </w:rPr>
    </w:lvl>
    <w:lvl w:ilvl="8" w:tplc="EE221774">
      <w:start w:val="1"/>
      <w:numFmt w:val="bullet"/>
      <w:lvlText w:val=""/>
      <w:lvlJc w:val="left"/>
      <w:pPr>
        <w:ind w:left="6480" w:hanging="360"/>
      </w:pPr>
      <w:rPr>
        <w:rFonts w:ascii="Wingdings" w:hAnsi="Wingdings" w:hint="default"/>
      </w:rPr>
    </w:lvl>
  </w:abstractNum>
  <w:abstractNum w:abstractNumId="7"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8"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9" w15:restartNumberingAfterBreak="0">
    <w:nsid w:val="23330E52"/>
    <w:multiLevelType w:val="hybridMultilevel"/>
    <w:tmpl w:val="2ED2A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2" w15:restartNumberingAfterBreak="0">
    <w:nsid w:val="30D807F1"/>
    <w:multiLevelType w:val="multilevel"/>
    <w:tmpl w:val="C396D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2A56A1"/>
    <w:multiLevelType w:val="multilevel"/>
    <w:tmpl w:val="482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DA3EAE"/>
    <w:multiLevelType w:val="hybridMultilevel"/>
    <w:tmpl w:val="A07A13AC"/>
    <w:lvl w:ilvl="0" w:tplc="171834EC">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762AC4"/>
    <w:multiLevelType w:val="multilevel"/>
    <w:tmpl w:val="92B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45B23"/>
    <w:multiLevelType w:val="multilevel"/>
    <w:tmpl w:val="16C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4E0C89"/>
    <w:multiLevelType w:val="multilevel"/>
    <w:tmpl w:val="BB2C2F9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sz w:val="18"/>
        <w:szCs w:val="14"/>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B0207F"/>
    <w:multiLevelType w:val="hybridMultilevel"/>
    <w:tmpl w:val="BD76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6EFA2"/>
    <w:multiLevelType w:val="hybridMultilevel"/>
    <w:tmpl w:val="96C6C2EA"/>
    <w:lvl w:ilvl="0" w:tplc="FD94A94A">
      <w:start w:val="1"/>
      <w:numFmt w:val="decimal"/>
      <w:lvlText w:val="%1."/>
      <w:lvlJc w:val="left"/>
      <w:pPr>
        <w:ind w:left="408" w:hanging="360"/>
      </w:pPr>
    </w:lvl>
    <w:lvl w:ilvl="1" w:tplc="1804A7AA">
      <w:start w:val="1"/>
      <w:numFmt w:val="lowerLetter"/>
      <w:lvlText w:val="%2."/>
      <w:lvlJc w:val="left"/>
      <w:pPr>
        <w:ind w:left="1128" w:hanging="360"/>
      </w:pPr>
    </w:lvl>
    <w:lvl w:ilvl="2" w:tplc="9F42454A">
      <w:start w:val="1"/>
      <w:numFmt w:val="lowerRoman"/>
      <w:lvlText w:val="%3."/>
      <w:lvlJc w:val="right"/>
      <w:pPr>
        <w:ind w:left="1848" w:hanging="180"/>
      </w:pPr>
    </w:lvl>
    <w:lvl w:ilvl="3" w:tplc="7EF0289C">
      <w:start w:val="1"/>
      <w:numFmt w:val="decimal"/>
      <w:lvlText w:val="%4."/>
      <w:lvlJc w:val="left"/>
      <w:pPr>
        <w:ind w:left="2568" w:hanging="360"/>
      </w:pPr>
    </w:lvl>
    <w:lvl w:ilvl="4" w:tplc="2B70ED2C">
      <w:start w:val="1"/>
      <w:numFmt w:val="lowerLetter"/>
      <w:lvlText w:val="%5."/>
      <w:lvlJc w:val="left"/>
      <w:pPr>
        <w:ind w:left="3288" w:hanging="360"/>
      </w:pPr>
    </w:lvl>
    <w:lvl w:ilvl="5" w:tplc="6C76791E">
      <w:start w:val="1"/>
      <w:numFmt w:val="lowerRoman"/>
      <w:lvlText w:val="%6."/>
      <w:lvlJc w:val="right"/>
      <w:pPr>
        <w:ind w:left="4008" w:hanging="180"/>
      </w:pPr>
    </w:lvl>
    <w:lvl w:ilvl="6" w:tplc="F1F61A5C">
      <w:start w:val="1"/>
      <w:numFmt w:val="decimal"/>
      <w:lvlText w:val="%7."/>
      <w:lvlJc w:val="left"/>
      <w:pPr>
        <w:ind w:left="4728" w:hanging="360"/>
      </w:pPr>
    </w:lvl>
    <w:lvl w:ilvl="7" w:tplc="8C9A6180">
      <w:start w:val="1"/>
      <w:numFmt w:val="lowerLetter"/>
      <w:lvlText w:val="%8."/>
      <w:lvlJc w:val="left"/>
      <w:pPr>
        <w:ind w:left="5448" w:hanging="360"/>
      </w:pPr>
    </w:lvl>
    <w:lvl w:ilvl="8" w:tplc="FF9EFD4A">
      <w:start w:val="1"/>
      <w:numFmt w:val="lowerRoman"/>
      <w:lvlText w:val="%9."/>
      <w:lvlJc w:val="right"/>
      <w:pPr>
        <w:ind w:left="6168" w:hanging="180"/>
      </w:pPr>
    </w:lvl>
  </w:abstractNum>
  <w:abstractNum w:abstractNumId="20"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1"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2" w15:restartNumberingAfterBreak="0">
    <w:nsid w:val="51B67CD0"/>
    <w:multiLevelType w:val="hybridMultilevel"/>
    <w:tmpl w:val="E022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4" w15:restartNumberingAfterBreak="0">
    <w:nsid w:val="593B7F5E"/>
    <w:multiLevelType w:val="multilevel"/>
    <w:tmpl w:val="02B2C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6" w15:restartNumberingAfterBreak="0">
    <w:nsid w:val="62DD0BF7"/>
    <w:multiLevelType w:val="hybridMultilevel"/>
    <w:tmpl w:val="8C086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867AB"/>
    <w:multiLevelType w:val="multilevel"/>
    <w:tmpl w:val="C85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81695A"/>
    <w:multiLevelType w:val="hybridMultilevel"/>
    <w:tmpl w:val="C444DD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30" w15:restartNumberingAfterBreak="0">
    <w:nsid w:val="76566E74"/>
    <w:multiLevelType w:val="hybridMultilevel"/>
    <w:tmpl w:val="CED416D8"/>
    <w:lvl w:ilvl="0" w:tplc="D4D21B0E">
      <w:start w:val="1"/>
      <w:numFmt w:val="decimal"/>
      <w:lvlText w:val="%1."/>
      <w:lvlJc w:val="left"/>
      <w:pPr>
        <w:ind w:left="720" w:hanging="360"/>
      </w:pPr>
    </w:lvl>
    <w:lvl w:ilvl="1" w:tplc="2D00BEB0">
      <w:start w:val="1"/>
      <w:numFmt w:val="lowerLetter"/>
      <w:lvlText w:val="%2."/>
      <w:lvlJc w:val="left"/>
      <w:pPr>
        <w:ind w:left="1440" w:hanging="360"/>
      </w:pPr>
    </w:lvl>
    <w:lvl w:ilvl="2" w:tplc="F692FE5C">
      <w:start w:val="1"/>
      <w:numFmt w:val="lowerRoman"/>
      <w:lvlText w:val="%3."/>
      <w:lvlJc w:val="right"/>
      <w:pPr>
        <w:ind w:left="2160" w:hanging="180"/>
      </w:pPr>
    </w:lvl>
    <w:lvl w:ilvl="3" w:tplc="BDC019FC">
      <w:start w:val="1"/>
      <w:numFmt w:val="decimal"/>
      <w:lvlText w:val="%4."/>
      <w:lvlJc w:val="left"/>
      <w:pPr>
        <w:ind w:left="2880" w:hanging="360"/>
      </w:pPr>
    </w:lvl>
    <w:lvl w:ilvl="4" w:tplc="191A5932">
      <w:start w:val="1"/>
      <w:numFmt w:val="lowerLetter"/>
      <w:lvlText w:val="%5."/>
      <w:lvlJc w:val="left"/>
      <w:pPr>
        <w:ind w:left="3600" w:hanging="360"/>
      </w:pPr>
    </w:lvl>
    <w:lvl w:ilvl="5" w:tplc="51823BCA">
      <w:start w:val="1"/>
      <w:numFmt w:val="lowerRoman"/>
      <w:lvlText w:val="%6."/>
      <w:lvlJc w:val="right"/>
      <w:pPr>
        <w:ind w:left="4320" w:hanging="180"/>
      </w:pPr>
    </w:lvl>
    <w:lvl w:ilvl="6" w:tplc="3AC286F8">
      <w:start w:val="1"/>
      <w:numFmt w:val="decimal"/>
      <w:lvlText w:val="%7."/>
      <w:lvlJc w:val="left"/>
      <w:pPr>
        <w:ind w:left="5040" w:hanging="360"/>
      </w:pPr>
    </w:lvl>
    <w:lvl w:ilvl="7" w:tplc="6572397A">
      <w:start w:val="1"/>
      <w:numFmt w:val="lowerLetter"/>
      <w:lvlText w:val="%8."/>
      <w:lvlJc w:val="left"/>
      <w:pPr>
        <w:ind w:left="5760" w:hanging="360"/>
      </w:pPr>
    </w:lvl>
    <w:lvl w:ilvl="8" w:tplc="8F8A0532">
      <w:start w:val="1"/>
      <w:numFmt w:val="lowerRoman"/>
      <w:lvlText w:val="%9."/>
      <w:lvlJc w:val="right"/>
      <w:pPr>
        <w:ind w:left="6480" w:hanging="180"/>
      </w:pPr>
    </w:lvl>
  </w:abstractNum>
  <w:abstractNum w:abstractNumId="31" w15:restartNumberingAfterBreak="0">
    <w:nsid w:val="7ED87DFA"/>
    <w:multiLevelType w:val="hybridMultilevel"/>
    <w:tmpl w:val="65E47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4523303">
    <w:abstractNumId w:val="7"/>
  </w:num>
  <w:num w:numId="2" w16cid:durableId="1615206586">
    <w:abstractNumId w:val="23"/>
  </w:num>
  <w:num w:numId="3" w16cid:durableId="1361467703">
    <w:abstractNumId w:val="1"/>
  </w:num>
  <w:num w:numId="4" w16cid:durableId="1476023162">
    <w:abstractNumId w:val="21"/>
  </w:num>
  <w:num w:numId="5" w16cid:durableId="1581721156">
    <w:abstractNumId w:val="29"/>
  </w:num>
  <w:num w:numId="6" w16cid:durableId="249042885">
    <w:abstractNumId w:val="5"/>
  </w:num>
  <w:num w:numId="7" w16cid:durableId="1419596970">
    <w:abstractNumId w:val="11"/>
  </w:num>
  <w:num w:numId="8" w16cid:durableId="1292593439">
    <w:abstractNumId w:val="8"/>
  </w:num>
  <w:num w:numId="9" w16cid:durableId="698433423">
    <w:abstractNumId w:val="2"/>
  </w:num>
  <w:num w:numId="10" w16cid:durableId="290333517">
    <w:abstractNumId w:val="20"/>
  </w:num>
  <w:num w:numId="11" w16cid:durableId="625626051">
    <w:abstractNumId w:val="25"/>
  </w:num>
  <w:num w:numId="12" w16cid:durableId="526719551">
    <w:abstractNumId w:val="10"/>
  </w:num>
  <w:num w:numId="13" w16cid:durableId="673801186">
    <w:abstractNumId w:val="31"/>
  </w:num>
  <w:num w:numId="14" w16cid:durableId="1365248019">
    <w:abstractNumId w:val="28"/>
  </w:num>
  <w:num w:numId="15" w16cid:durableId="1281494637">
    <w:abstractNumId w:val="9"/>
  </w:num>
  <w:num w:numId="16" w16cid:durableId="1609310680">
    <w:abstractNumId w:val="4"/>
  </w:num>
  <w:num w:numId="17" w16cid:durableId="1873418212">
    <w:abstractNumId w:val="18"/>
  </w:num>
  <w:num w:numId="18" w16cid:durableId="765154247">
    <w:abstractNumId w:val="15"/>
  </w:num>
  <w:num w:numId="19" w16cid:durableId="1432244562">
    <w:abstractNumId w:val="0"/>
  </w:num>
  <w:num w:numId="20" w16cid:durableId="1341547427">
    <w:abstractNumId w:val="13"/>
  </w:num>
  <w:num w:numId="21" w16cid:durableId="1189104356">
    <w:abstractNumId w:val="16"/>
  </w:num>
  <w:num w:numId="22" w16cid:durableId="565410439">
    <w:abstractNumId w:val="27"/>
  </w:num>
  <w:num w:numId="23" w16cid:durableId="2015067629">
    <w:abstractNumId w:val="24"/>
  </w:num>
  <w:num w:numId="24" w16cid:durableId="1687051835">
    <w:abstractNumId w:val="12"/>
  </w:num>
  <w:num w:numId="25" w16cid:durableId="1571192118">
    <w:abstractNumId w:val="17"/>
  </w:num>
  <w:num w:numId="26" w16cid:durableId="1927837659">
    <w:abstractNumId w:val="3"/>
  </w:num>
  <w:num w:numId="27" w16cid:durableId="2062828874">
    <w:abstractNumId w:val="22"/>
  </w:num>
  <w:num w:numId="28" w16cid:durableId="893739777">
    <w:abstractNumId w:val="26"/>
  </w:num>
  <w:num w:numId="29" w16cid:durableId="1942177334">
    <w:abstractNumId w:val="19"/>
  </w:num>
  <w:num w:numId="30" w16cid:durableId="1936205810">
    <w:abstractNumId w:val="30"/>
  </w:num>
  <w:num w:numId="31" w16cid:durableId="1140264616">
    <w:abstractNumId w:val="6"/>
  </w:num>
  <w:num w:numId="32" w16cid:durableId="13712960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02D"/>
    <w:rsid w:val="000023EE"/>
    <w:rsid w:val="0000597E"/>
    <w:rsid w:val="0001323E"/>
    <w:rsid w:val="00025962"/>
    <w:rsid w:val="000278B4"/>
    <w:rsid w:val="00031B10"/>
    <w:rsid w:val="000406AE"/>
    <w:rsid w:val="00041001"/>
    <w:rsid w:val="00066F21"/>
    <w:rsid w:val="00070597"/>
    <w:rsid w:val="00071AB6"/>
    <w:rsid w:val="00075961"/>
    <w:rsid w:val="00077B1E"/>
    <w:rsid w:val="000820DE"/>
    <w:rsid w:val="00096F51"/>
    <w:rsid w:val="000A018E"/>
    <w:rsid w:val="000A3525"/>
    <w:rsid w:val="000A4391"/>
    <w:rsid w:val="000B21F1"/>
    <w:rsid w:val="000B4F7F"/>
    <w:rsid w:val="000C3DFD"/>
    <w:rsid w:val="000C6698"/>
    <w:rsid w:val="000C6C17"/>
    <w:rsid w:val="000D2755"/>
    <w:rsid w:val="000E18D7"/>
    <w:rsid w:val="000E2304"/>
    <w:rsid w:val="000F1772"/>
    <w:rsid w:val="000F2EC5"/>
    <w:rsid w:val="000F6B94"/>
    <w:rsid w:val="000F7BC2"/>
    <w:rsid w:val="001037C5"/>
    <w:rsid w:val="00104936"/>
    <w:rsid w:val="00110508"/>
    <w:rsid w:val="001106E9"/>
    <w:rsid w:val="001113DC"/>
    <w:rsid w:val="00115A46"/>
    <w:rsid w:val="001200AE"/>
    <w:rsid w:val="00121220"/>
    <w:rsid w:val="00126BDB"/>
    <w:rsid w:val="00126F79"/>
    <w:rsid w:val="00130E99"/>
    <w:rsid w:val="001327CB"/>
    <w:rsid w:val="00134943"/>
    <w:rsid w:val="00140AFD"/>
    <w:rsid w:val="001451CA"/>
    <w:rsid w:val="00147D62"/>
    <w:rsid w:val="00150A06"/>
    <w:rsid w:val="00153237"/>
    <w:rsid w:val="0015341A"/>
    <w:rsid w:val="0015683E"/>
    <w:rsid w:val="00162299"/>
    <w:rsid w:val="001629FE"/>
    <w:rsid w:val="00162C54"/>
    <w:rsid w:val="001671F8"/>
    <w:rsid w:val="00170C30"/>
    <w:rsid w:val="00176A95"/>
    <w:rsid w:val="001811E4"/>
    <w:rsid w:val="00183D78"/>
    <w:rsid w:val="00185862"/>
    <w:rsid w:val="00185CF5"/>
    <w:rsid w:val="001905D5"/>
    <w:rsid w:val="001A3A8F"/>
    <w:rsid w:val="001A471D"/>
    <w:rsid w:val="001A4A53"/>
    <w:rsid w:val="001A67E8"/>
    <w:rsid w:val="001A71F9"/>
    <w:rsid w:val="001B6B9A"/>
    <w:rsid w:val="001B7D00"/>
    <w:rsid w:val="001C1497"/>
    <w:rsid w:val="001C7FF3"/>
    <w:rsid w:val="001D0FF2"/>
    <w:rsid w:val="001D1B25"/>
    <w:rsid w:val="001F2F7E"/>
    <w:rsid w:val="001F4700"/>
    <w:rsid w:val="00202E77"/>
    <w:rsid w:val="00210546"/>
    <w:rsid w:val="0021267D"/>
    <w:rsid w:val="00215F8B"/>
    <w:rsid w:val="00221305"/>
    <w:rsid w:val="002227DF"/>
    <w:rsid w:val="0023031F"/>
    <w:rsid w:val="00232184"/>
    <w:rsid w:val="002325AF"/>
    <w:rsid w:val="00232B17"/>
    <w:rsid w:val="00233BBC"/>
    <w:rsid w:val="00234734"/>
    <w:rsid w:val="00242E3F"/>
    <w:rsid w:val="002432BE"/>
    <w:rsid w:val="002539AA"/>
    <w:rsid w:val="00265AF9"/>
    <w:rsid w:val="00266F18"/>
    <w:rsid w:val="002673AD"/>
    <w:rsid w:val="00267CF4"/>
    <w:rsid w:val="00277E6F"/>
    <w:rsid w:val="0028023C"/>
    <w:rsid w:val="00287FCA"/>
    <w:rsid w:val="002A24F9"/>
    <w:rsid w:val="002A3757"/>
    <w:rsid w:val="002A74A1"/>
    <w:rsid w:val="002A7655"/>
    <w:rsid w:val="002B2C57"/>
    <w:rsid w:val="002B3692"/>
    <w:rsid w:val="002C15D9"/>
    <w:rsid w:val="002C53AD"/>
    <w:rsid w:val="002D559E"/>
    <w:rsid w:val="002D693B"/>
    <w:rsid w:val="002D761A"/>
    <w:rsid w:val="002E0684"/>
    <w:rsid w:val="002E3BFE"/>
    <w:rsid w:val="002E3C96"/>
    <w:rsid w:val="002E5F94"/>
    <w:rsid w:val="002F514D"/>
    <w:rsid w:val="0030502B"/>
    <w:rsid w:val="00305276"/>
    <w:rsid w:val="00317C9B"/>
    <w:rsid w:val="003203B6"/>
    <w:rsid w:val="00320768"/>
    <w:rsid w:val="00324961"/>
    <w:rsid w:val="0033205D"/>
    <w:rsid w:val="00341802"/>
    <w:rsid w:val="00342E31"/>
    <w:rsid w:val="00342FF7"/>
    <w:rsid w:val="00343263"/>
    <w:rsid w:val="00350765"/>
    <w:rsid w:val="00354409"/>
    <w:rsid w:val="0035638B"/>
    <w:rsid w:val="00356602"/>
    <w:rsid w:val="00360D1F"/>
    <w:rsid w:val="00360EF8"/>
    <w:rsid w:val="00361719"/>
    <w:rsid w:val="00362E5A"/>
    <w:rsid w:val="00363941"/>
    <w:rsid w:val="00363BF6"/>
    <w:rsid w:val="003642E6"/>
    <w:rsid w:val="00372846"/>
    <w:rsid w:val="00372A3B"/>
    <w:rsid w:val="00386675"/>
    <w:rsid w:val="00387406"/>
    <w:rsid w:val="003935FA"/>
    <w:rsid w:val="003A3A81"/>
    <w:rsid w:val="003A5E1A"/>
    <w:rsid w:val="003B1741"/>
    <w:rsid w:val="003B3EBC"/>
    <w:rsid w:val="003B43DF"/>
    <w:rsid w:val="003B5391"/>
    <w:rsid w:val="003B7E32"/>
    <w:rsid w:val="003C11E2"/>
    <w:rsid w:val="003C1C37"/>
    <w:rsid w:val="003C2DC7"/>
    <w:rsid w:val="003D2C36"/>
    <w:rsid w:val="003E00B9"/>
    <w:rsid w:val="003E1046"/>
    <w:rsid w:val="003E189C"/>
    <w:rsid w:val="003E5DA3"/>
    <w:rsid w:val="003F1A2F"/>
    <w:rsid w:val="00404A9E"/>
    <w:rsid w:val="00417F54"/>
    <w:rsid w:val="00421F22"/>
    <w:rsid w:val="00422B15"/>
    <w:rsid w:val="0042432B"/>
    <w:rsid w:val="00427717"/>
    <w:rsid w:val="00430C00"/>
    <w:rsid w:val="00436274"/>
    <w:rsid w:val="004370FA"/>
    <w:rsid w:val="0044520A"/>
    <w:rsid w:val="004507A2"/>
    <w:rsid w:val="004536DB"/>
    <w:rsid w:val="004539A2"/>
    <w:rsid w:val="00453BCA"/>
    <w:rsid w:val="004554CE"/>
    <w:rsid w:val="00460410"/>
    <w:rsid w:val="004644AD"/>
    <w:rsid w:val="00464B7D"/>
    <w:rsid w:val="00464D96"/>
    <w:rsid w:val="0046599C"/>
    <w:rsid w:val="0046671E"/>
    <w:rsid w:val="00467A0B"/>
    <w:rsid w:val="0047244C"/>
    <w:rsid w:val="00481F30"/>
    <w:rsid w:val="00483A9B"/>
    <w:rsid w:val="004878D1"/>
    <w:rsid w:val="00492EE4"/>
    <w:rsid w:val="00495343"/>
    <w:rsid w:val="00497A27"/>
    <w:rsid w:val="004A13B8"/>
    <w:rsid w:val="004A1CEE"/>
    <w:rsid w:val="004A2B1F"/>
    <w:rsid w:val="004A691C"/>
    <w:rsid w:val="004B3FCA"/>
    <w:rsid w:val="004D0B6E"/>
    <w:rsid w:val="004D520F"/>
    <w:rsid w:val="004E477E"/>
    <w:rsid w:val="004E51D3"/>
    <w:rsid w:val="004F3057"/>
    <w:rsid w:val="004F48B5"/>
    <w:rsid w:val="005100BD"/>
    <w:rsid w:val="00514019"/>
    <w:rsid w:val="00515060"/>
    <w:rsid w:val="00517B1C"/>
    <w:rsid w:val="00525253"/>
    <w:rsid w:val="005268C5"/>
    <w:rsid w:val="0053213E"/>
    <w:rsid w:val="00533F70"/>
    <w:rsid w:val="00534CD4"/>
    <w:rsid w:val="0054010C"/>
    <w:rsid w:val="00540A0B"/>
    <w:rsid w:val="00551E50"/>
    <w:rsid w:val="00552016"/>
    <w:rsid w:val="005609D6"/>
    <w:rsid w:val="00561362"/>
    <w:rsid w:val="0056284D"/>
    <w:rsid w:val="00563709"/>
    <w:rsid w:val="00563BA9"/>
    <w:rsid w:val="00564A0F"/>
    <w:rsid w:val="00570F55"/>
    <w:rsid w:val="00573244"/>
    <w:rsid w:val="005749F8"/>
    <w:rsid w:val="005753CB"/>
    <w:rsid w:val="005758D8"/>
    <w:rsid w:val="005772BE"/>
    <w:rsid w:val="00581380"/>
    <w:rsid w:val="00583313"/>
    <w:rsid w:val="00584624"/>
    <w:rsid w:val="0058623D"/>
    <w:rsid w:val="0059645F"/>
    <w:rsid w:val="005A104C"/>
    <w:rsid w:val="005A4B03"/>
    <w:rsid w:val="005A72E9"/>
    <w:rsid w:val="005B2687"/>
    <w:rsid w:val="005B4C8D"/>
    <w:rsid w:val="005C1FDE"/>
    <w:rsid w:val="005C77CC"/>
    <w:rsid w:val="005D1C2A"/>
    <w:rsid w:val="005D2079"/>
    <w:rsid w:val="005D2418"/>
    <w:rsid w:val="005D4B52"/>
    <w:rsid w:val="005D69C8"/>
    <w:rsid w:val="005D76DE"/>
    <w:rsid w:val="005E0124"/>
    <w:rsid w:val="005E0792"/>
    <w:rsid w:val="005E49B8"/>
    <w:rsid w:val="005F653A"/>
    <w:rsid w:val="0060086C"/>
    <w:rsid w:val="006050EA"/>
    <w:rsid w:val="00621505"/>
    <w:rsid w:val="006235A8"/>
    <w:rsid w:val="00624D40"/>
    <w:rsid w:val="00625A15"/>
    <w:rsid w:val="00631EDE"/>
    <w:rsid w:val="00632969"/>
    <w:rsid w:val="00633310"/>
    <w:rsid w:val="00636231"/>
    <w:rsid w:val="00640DA9"/>
    <w:rsid w:val="006429E4"/>
    <w:rsid w:val="0064301B"/>
    <w:rsid w:val="00643C2C"/>
    <w:rsid w:val="00643E81"/>
    <w:rsid w:val="00650785"/>
    <w:rsid w:val="00651D68"/>
    <w:rsid w:val="00652800"/>
    <w:rsid w:val="00652A0A"/>
    <w:rsid w:val="0065340F"/>
    <w:rsid w:val="00654187"/>
    <w:rsid w:val="00654AB2"/>
    <w:rsid w:val="0066038B"/>
    <w:rsid w:val="00675B5D"/>
    <w:rsid w:val="00677632"/>
    <w:rsid w:val="0068332E"/>
    <w:rsid w:val="00684020"/>
    <w:rsid w:val="00690788"/>
    <w:rsid w:val="00693A29"/>
    <w:rsid w:val="00693E70"/>
    <w:rsid w:val="00694CEB"/>
    <w:rsid w:val="00696DAE"/>
    <w:rsid w:val="00697651"/>
    <w:rsid w:val="006A2F8F"/>
    <w:rsid w:val="006B554B"/>
    <w:rsid w:val="006B77F6"/>
    <w:rsid w:val="006C3AE3"/>
    <w:rsid w:val="006C639C"/>
    <w:rsid w:val="006C70BB"/>
    <w:rsid w:val="006D798B"/>
    <w:rsid w:val="006E0CC7"/>
    <w:rsid w:val="006E30DF"/>
    <w:rsid w:val="006E7DC8"/>
    <w:rsid w:val="006F53F0"/>
    <w:rsid w:val="006F5516"/>
    <w:rsid w:val="0071171D"/>
    <w:rsid w:val="00717716"/>
    <w:rsid w:val="00717E54"/>
    <w:rsid w:val="00723E26"/>
    <w:rsid w:val="00724AB1"/>
    <w:rsid w:val="00726A7E"/>
    <w:rsid w:val="00726D14"/>
    <w:rsid w:val="00731C29"/>
    <w:rsid w:val="00733584"/>
    <w:rsid w:val="007362DC"/>
    <w:rsid w:val="00745A4B"/>
    <w:rsid w:val="0074657A"/>
    <w:rsid w:val="00750ABA"/>
    <w:rsid w:val="00752588"/>
    <w:rsid w:val="0075276A"/>
    <w:rsid w:val="00755138"/>
    <w:rsid w:val="00756629"/>
    <w:rsid w:val="007573EF"/>
    <w:rsid w:val="00763AD2"/>
    <w:rsid w:val="00763C1B"/>
    <w:rsid w:val="00773304"/>
    <w:rsid w:val="00774660"/>
    <w:rsid w:val="00780EA5"/>
    <w:rsid w:val="00784275"/>
    <w:rsid w:val="00784285"/>
    <w:rsid w:val="00787C3D"/>
    <w:rsid w:val="00791C0E"/>
    <w:rsid w:val="00793C7F"/>
    <w:rsid w:val="00793E00"/>
    <w:rsid w:val="007A2BB2"/>
    <w:rsid w:val="007A3466"/>
    <w:rsid w:val="007A7C47"/>
    <w:rsid w:val="007B6680"/>
    <w:rsid w:val="007C011F"/>
    <w:rsid w:val="007C069F"/>
    <w:rsid w:val="007C07DD"/>
    <w:rsid w:val="007C1D24"/>
    <w:rsid w:val="007C36A6"/>
    <w:rsid w:val="007C47FC"/>
    <w:rsid w:val="007C7BC7"/>
    <w:rsid w:val="007D09FC"/>
    <w:rsid w:val="007D3F98"/>
    <w:rsid w:val="007D4B37"/>
    <w:rsid w:val="007D6DCD"/>
    <w:rsid w:val="007E0862"/>
    <w:rsid w:val="007E15F3"/>
    <w:rsid w:val="007E676F"/>
    <w:rsid w:val="007E7F07"/>
    <w:rsid w:val="007F241E"/>
    <w:rsid w:val="007F31FD"/>
    <w:rsid w:val="008007DB"/>
    <w:rsid w:val="00801C7A"/>
    <w:rsid w:val="00802D17"/>
    <w:rsid w:val="00803FFF"/>
    <w:rsid w:val="008043BE"/>
    <w:rsid w:val="008072A1"/>
    <w:rsid w:val="008138B1"/>
    <w:rsid w:val="008147D8"/>
    <w:rsid w:val="00815CE5"/>
    <w:rsid w:val="00817AEB"/>
    <w:rsid w:val="00820553"/>
    <w:rsid w:val="00846066"/>
    <w:rsid w:val="008464F6"/>
    <w:rsid w:val="00850100"/>
    <w:rsid w:val="008560E8"/>
    <w:rsid w:val="00865777"/>
    <w:rsid w:val="008723DF"/>
    <w:rsid w:val="00875153"/>
    <w:rsid w:val="00883285"/>
    <w:rsid w:val="00885CD3"/>
    <w:rsid w:val="00886BC7"/>
    <w:rsid w:val="00887C71"/>
    <w:rsid w:val="00890699"/>
    <w:rsid w:val="00890FAA"/>
    <w:rsid w:val="008A6E53"/>
    <w:rsid w:val="008B0325"/>
    <w:rsid w:val="008B65B9"/>
    <w:rsid w:val="008C2069"/>
    <w:rsid w:val="008C3511"/>
    <w:rsid w:val="008C5EB8"/>
    <w:rsid w:val="008C7ACD"/>
    <w:rsid w:val="008D4C5F"/>
    <w:rsid w:val="008D4C86"/>
    <w:rsid w:val="008D58BC"/>
    <w:rsid w:val="008E2029"/>
    <w:rsid w:val="008F49AD"/>
    <w:rsid w:val="008F5703"/>
    <w:rsid w:val="0090015A"/>
    <w:rsid w:val="00911CAA"/>
    <w:rsid w:val="00921BA2"/>
    <w:rsid w:val="00927903"/>
    <w:rsid w:val="009302BE"/>
    <w:rsid w:val="00935D27"/>
    <w:rsid w:val="0093712F"/>
    <w:rsid w:val="00937F0F"/>
    <w:rsid w:val="00947E43"/>
    <w:rsid w:val="00951A89"/>
    <w:rsid w:val="009533E3"/>
    <w:rsid w:val="00956314"/>
    <w:rsid w:val="00957ABA"/>
    <w:rsid w:val="00957D8A"/>
    <w:rsid w:val="00957DC2"/>
    <w:rsid w:val="00960930"/>
    <w:rsid w:val="0096678F"/>
    <w:rsid w:val="00970654"/>
    <w:rsid w:val="009846F1"/>
    <w:rsid w:val="00984ED3"/>
    <w:rsid w:val="00985B7E"/>
    <w:rsid w:val="00990F5B"/>
    <w:rsid w:val="009A241E"/>
    <w:rsid w:val="009A2507"/>
    <w:rsid w:val="009A4661"/>
    <w:rsid w:val="009A5803"/>
    <w:rsid w:val="009A6EA3"/>
    <w:rsid w:val="009B634B"/>
    <w:rsid w:val="009C0DCE"/>
    <w:rsid w:val="009C3D20"/>
    <w:rsid w:val="009D0490"/>
    <w:rsid w:val="009D37B5"/>
    <w:rsid w:val="009E1379"/>
    <w:rsid w:val="009E6759"/>
    <w:rsid w:val="009E7C0E"/>
    <w:rsid w:val="009F1CBC"/>
    <w:rsid w:val="009F2B9C"/>
    <w:rsid w:val="009F544D"/>
    <w:rsid w:val="009F5760"/>
    <w:rsid w:val="00A02F66"/>
    <w:rsid w:val="00A0475F"/>
    <w:rsid w:val="00A05C7A"/>
    <w:rsid w:val="00A07C8C"/>
    <w:rsid w:val="00A1715E"/>
    <w:rsid w:val="00A20B87"/>
    <w:rsid w:val="00A2416C"/>
    <w:rsid w:val="00A27DF3"/>
    <w:rsid w:val="00A3193F"/>
    <w:rsid w:val="00A35E8B"/>
    <w:rsid w:val="00A36B1C"/>
    <w:rsid w:val="00A41256"/>
    <w:rsid w:val="00A51E91"/>
    <w:rsid w:val="00A527CC"/>
    <w:rsid w:val="00A533C2"/>
    <w:rsid w:val="00A537AB"/>
    <w:rsid w:val="00A53880"/>
    <w:rsid w:val="00A57070"/>
    <w:rsid w:val="00A5752B"/>
    <w:rsid w:val="00A70DBF"/>
    <w:rsid w:val="00A7583D"/>
    <w:rsid w:val="00AA0C84"/>
    <w:rsid w:val="00AA2FE2"/>
    <w:rsid w:val="00AB1EF0"/>
    <w:rsid w:val="00AB7C02"/>
    <w:rsid w:val="00AB7D84"/>
    <w:rsid w:val="00AC0DF7"/>
    <w:rsid w:val="00AD44B4"/>
    <w:rsid w:val="00AD68BE"/>
    <w:rsid w:val="00AD72E2"/>
    <w:rsid w:val="00AE19BC"/>
    <w:rsid w:val="00AE5B6F"/>
    <w:rsid w:val="00AF0721"/>
    <w:rsid w:val="00AF61C8"/>
    <w:rsid w:val="00AF7BE3"/>
    <w:rsid w:val="00B10ED0"/>
    <w:rsid w:val="00B12A66"/>
    <w:rsid w:val="00B1457C"/>
    <w:rsid w:val="00B1594A"/>
    <w:rsid w:val="00B15AED"/>
    <w:rsid w:val="00B20A47"/>
    <w:rsid w:val="00B21774"/>
    <w:rsid w:val="00B3304C"/>
    <w:rsid w:val="00B40F87"/>
    <w:rsid w:val="00B427B2"/>
    <w:rsid w:val="00B60983"/>
    <w:rsid w:val="00B62560"/>
    <w:rsid w:val="00B635AB"/>
    <w:rsid w:val="00B65D01"/>
    <w:rsid w:val="00B7104C"/>
    <w:rsid w:val="00B735AC"/>
    <w:rsid w:val="00B74ADC"/>
    <w:rsid w:val="00B77A02"/>
    <w:rsid w:val="00B836C3"/>
    <w:rsid w:val="00B87D73"/>
    <w:rsid w:val="00B934A2"/>
    <w:rsid w:val="00B95926"/>
    <w:rsid w:val="00B97152"/>
    <w:rsid w:val="00B97562"/>
    <w:rsid w:val="00BA761F"/>
    <w:rsid w:val="00BB2EEE"/>
    <w:rsid w:val="00BB596C"/>
    <w:rsid w:val="00BB6AB1"/>
    <w:rsid w:val="00BC40ED"/>
    <w:rsid w:val="00BC6805"/>
    <w:rsid w:val="00BD2E21"/>
    <w:rsid w:val="00BD36DA"/>
    <w:rsid w:val="00BD4250"/>
    <w:rsid w:val="00BD57E8"/>
    <w:rsid w:val="00BD7E1D"/>
    <w:rsid w:val="00BE0F83"/>
    <w:rsid w:val="00BE1F12"/>
    <w:rsid w:val="00BE780E"/>
    <w:rsid w:val="00C00D70"/>
    <w:rsid w:val="00C07772"/>
    <w:rsid w:val="00C10069"/>
    <w:rsid w:val="00C1164F"/>
    <w:rsid w:val="00C1295B"/>
    <w:rsid w:val="00C24E58"/>
    <w:rsid w:val="00C25471"/>
    <w:rsid w:val="00C44418"/>
    <w:rsid w:val="00C45D3F"/>
    <w:rsid w:val="00C50758"/>
    <w:rsid w:val="00C51438"/>
    <w:rsid w:val="00C53C96"/>
    <w:rsid w:val="00C546C2"/>
    <w:rsid w:val="00C60165"/>
    <w:rsid w:val="00C61DFA"/>
    <w:rsid w:val="00C62035"/>
    <w:rsid w:val="00C62341"/>
    <w:rsid w:val="00C70540"/>
    <w:rsid w:val="00C74F27"/>
    <w:rsid w:val="00C838AD"/>
    <w:rsid w:val="00C83BCB"/>
    <w:rsid w:val="00C873A6"/>
    <w:rsid w:val="00C9514A"/>
    <w:rsid w:val="00C956F3"/>
    <w:rsid w:val="00C970D4"/>
    <w:rsid w:val="00CA0772"/>
    <w:rsid w:val="00CA5193"/>
    <w:rsid w:val="00CB293F"/>
    <w:rsid w:val="00CC04D7"/>
    <w:rsid w:val="00CC3EB4"/>
    <w:rsid w:val="00CD08A5"/>
    <w:rsid w:val="00CD0AF9"/>
    <w:rsid w:val="00CD5445"/>
    <w:rsid w:val="00CD7325"/>
    <w:rsid w:val="00CF0406"/>
    <w:rsid w:val="00CF2F7A"/>
    <w:rsid w:val="00CF3D87"/>
    <w:rsid w:val="00D013DC"/>
    <w:rsid w:val="00D025B9"/>
    <w:rsid w:val="00D027B3"/>
    <w:rsid w:val="00D124EC"/>
    <w:rsid w:val="00D14849"/>
    <w:rsid w:val="00D14A1D"/>
    <w:rsid w:val="00D15F6A"/>
    <w:rsid w:val="00D16DF2"/>
    <w:rsid w:val="00D17ED6"/>
    <w:rsid w:val="00D17F9B"/>
    <w:rsid w:val="00D25D88"/>
    <w:rsid w:val="00D305DC"/>
    <w:rsid w:val="00D30FC5"/>
    <w:rsid w:val="00D3104C"/>
    <w:rsid w:val="00D32482"/>
    <w:rsid w:val="00D33CD5"/>
    <w:rsid w:val="00D344A9"/>
    <w:rsid w:val="00D40511"/>
    <w:rsid w:val="00D41608"/>
    <w:rsid w:val="00D424D2"/>
    <w:rsid w:val="00D47ABC"/>
    <w:rsid w:val="00D5018B"/>
    <w:rsid w:val="00D51089"/>
    <w:rsid w:val="00D54111"/>
    <w:rsid w:val="00D5568B"/>
    <w:rsid w:val="00D5598B"/>
    <w:rsid w:val="00D56B39"/>
    <w:rsid w:val="00D57658"/>
    <w:rsid w:val="00D60016"/>
    <w:rsid w:val="00D60B30"/>
    <w:rsid w:val="00D66C3E"/>
    <w:rsid w:val="00D67ABF"/>
    <w:rsid w:val="00D74EFE"/>
    <w:rsid w:val="00D82B4A"/>
    <w:rsid w:val="00D866EF"/>
    <w:rsid w:val="00D86BB6"/>
    <w:rsid w:val="00D919D2"/>
    <w:rsid w:val="00D93C1A"/>
    <w:rsid w:val="00D94FFC"/>
    <w:rsid w:val="00D97F32"/>
    <w:rsid w:val="00DA0628"/>
    <w:rsid w:val="00DB34A9"/>
    <w:rsid w:val="00DB7B9E"/>
    <w:rsid w:val="00DC3A1E"/>
    <w:rsid w:val="00DC4909"/>
    <w:rsid w:val="00DD3B9F"/>
    <w:rsid w:val="00DD7C7B"/>
    <w:rsid w:val="00DE107F"/>
    <w:rsid w:val="00DE40B5"/>
    <w:rsid w:val="00DE48B7"/>
    <w:rsid w:val="00DF09BD"/>
    <w:rsid w:val="00DF17DD"/>
    <w:rsid w:val="00DF346D"/>
    <w:rsid w:val="00DF5162"/>
    <w:rsid w:val="00DF7D9F"/>
    <w:rsid w:val="00DF7EC4"/>
    <w:rsid w:val="00E03BE5"/>
    <w:rsid w:val="00E03C7E"/>
    <w:rsid w:val="00E04ACE"/>
    <w:rsid w:val="00E04E80"/>
    <w:rsid w:val="00E053C4"/>
    <w:rsid w:val="00E11DCF"/>
    <w:rsid w:val="00E15C58"/>
    <w:rsid w:val="00E20A15"/>
    <w:rsid w:val="00E21F2D"/>
    <w:rsid w:val="00E30DEC"/>
    <w:rsid w:val="00E430F3"/>
    <w:rsid w:val="00E43F63"/>
    <w:rsid w:val="00E43FBD"/>
    <w:rsid w:val="00E457BD"/>
    <w:rsid w:val="00E4603B"/>
    <w:rsid w:val="00E46CB3"/>
    <w:rsid w:val="00E51C00"/>
    <w:rsid w:val="00E53F55"/>
    <w:rsid w:val="00E60F4A"/>
    <w:rsid w:val="00E6109B"/>
    <w:rsid w:val="00E63820"/>
    <w:rsid w:val="00E7077B"/>
    <w:rsid w:val="00E71796"/>
    <w:rsid w:val="00E74C51"/>
    <w:rsid w:val="00E828CF"/>
    <w:rsid w:val="00E83793"/>
    <w:rsid w:val="00E95FAC"/>
    <w:rsid w:val="00E969B8"/>
    <w:rsid w:val="00E969FD"/>
    <w:rsid w:val="00E96E02"/>
    <w:rsid w:val="00E970C4"/>
    <w:rsid w:val="00EA49C6"/>
    <w:rsid w:val="00EA4EA5"/>
    <w:rsid w:val="00EB0245"/>
    <w:rsid w:val="00EB27AE"/>
    <w:rsid w:val="00EB2AB6"/>
    <w:rsid w:val="00EB390A"/>
    <w:rsid w:val="00EB4370"/>
    <w:rsid w:val="00EB5E27"/>
    <w:rsid w:val="00EB5EBB"/>
    <w:rsid w:val="00EB7147"/>
    <w:rsid w:val="00EC258E"/>
    <w:rsid w:val="00EC39BE"/>
    <w:rsid w:val="00EC3F0C"/>
    <w:rsid w:val="00ED5C52"/>
    <w:rsid w:val="00EE6DBE"/>
    <w:rsid w:val="00EF40FB"/>
    <w:rsid w:val="00EF51AA"/>
    <w:rsid w:val="00F11594"/>
    <w:rsid w:val="00F15421"/>
    <w:rsid w:val="00F1657D"/>
    <w:rsid w:val="00F233DC"/>
    <w:rsid w:val="00F2353C"/>
    <w:rsid w:val="00F32C36"/>
    <w:rsid w:val="00F37523"/>
    <w:rsid w:val="00F4192C"/>
    <w:rsid w:val="00F46331"/>
    <w:rsid w:val="00F50A1F"/>
    <w:rsid w:val="00F52B6E"/>
    <w:rsid w:val="00F56FCA"/>
    <w:rsid w:val="00F66A75"/>
    <w:rsid w:val="00F70EF2"/>
    <w:rsid w:val="00F72173"/>
    <w:rsid w:val="00F72DB4"/>
    <w:rsid w:val="00F81158"/>
    <w:rsid w:val="00F83EE1"/>
    <w:rsid w:val="00F84486"/>
    <w:rsid w:val="00F91015"/>
    <w:rsid w:val="00F96BE8"/>
    <w:rsid w:val="00FA5300"/>
    <w:rsid w:val="00FA5FC5"/>
    <w:rsid w:val="00FA6BFE"/>
    <w:rsid w:val="00FB13FD"/>
    <w:rsid w:val="00FB1ED3"/>
    <w:rsid w:val="00FB408A"/>
    <w:rsid w:val="00FB5448"/>
    <w:rsid w:val="00FB66C4"/>
    <w:rsid w:val="00FC0633"/>
    <w:rsid w:val="00FD0932"/>
    <w:rsid w:val="00FD1083"/>
    <w:rsid w:val="00FD3FA1"/>
    <w:rsid w:val="00FD4B81"/>
    <w:rsid w:val="00FD7504"/>
    <w:rsid w:val="00FE24C6"/>
    <w:rsid w:val="00FE4C59"/>
    <w:rsid w:val="00FE724C"/>
    <w:rsid w:val="00FE7F16"/>
    <w:rsid w:val="00FF249F"/>
    <w:rsid w:val="014868E7"/>
    <w:rsid w:val="017E8D7E"/>
    <w:rsid w:val="04B5EC6B"/>
    <w:rsid w:val="0549F435"/>
    <w:rsid w:val="05AAACF0"/>
    <w:rsid w:val="05E59D38"/>
    <w:rsid w:val="06202185"/>
    <w:rsid w:val="0650BD8F"/>
    <w:rsid w:val="06F13306"/>
    <w:rsid w:val="077B12A1"/>
    <w:rsid w:val="07D5B944"/>
    <w:rsid w:val="08266EBC"/>
    <w:rsid w:val="08345208"/>
    <w:rsid w:val="0898BDB5"/>
    <w:rsid w:val="089EF4C7"/>
    <w:rsid w:val="09C913BD"/>
    <w:rsid w:val="09CC12F5"/>
    <w:rsid w:val="0A614DDF"/>
    <w:rsid w:val="0AB69809"/>
    <w:rsid w:val="0B132ECB"/>
    <w:rsid w:val="0E897631"/>
    <w:rsid w:val="0FA74F7B"/>
    <w:rsid w:val="0FE3B4C5"/>
    <w:rsid w:val="0FEC22E0"/>
    <w:rsid w:val="1018AC6F"/>
    <w:rsid w:val="108757E3"/>
    <w:rsid w:val="10BDFC45"/>
    <w:rsid w:val="11F3A37F"/>
    <w:rsid w:val="1300BA1F"/>
    <w:rsid w:val="142165F1"/>
    <w:rsid w:val="15196DC9"/>
    <w:rsid w:val="173D9384"/>
    <w:rsid w:val="18C51790"/>
    <w:rsid w:val="19199C4E"/>
    <w:rsid w:val="1C3AAC09"/>
    <w:rsid w:val="210C6CCF"/>
    <w:rsid w:val="211687A4"/>
    <w:rsid w:val="216E5DE3"/>
    <w:rsid w:val="222B292B"/>
    <w:rsid w:val="2246BE37"/>
    <w:rsid w:val="23486FC0"/>
    <w:rsid w:val="240AE49B"/>
    <w:rsid w:val="2494DE59"/>
    <w:rsid w:val="24C36B70"/>
    <w:rsid w:val="25E06771"/>
    <w:rsid w:val="2A1658FC"/>
    <w:rsid w:val="2C4A7FAA"/>
    <w:rsid w:val="2D4571A6"/>
    <w:rsid w:val="2D615375"/>
    <w:rsid w:val="2EBEC539"/>
    <w:rsid w:val="2EF73CD4"/>
    <w:rsid w:val="2EFC0393"/>
    <w:rsid w:val="303915B7"/>
    <w:rsid w:val="30582B0E"/>
    <w:rsid w:val="3084F3A2"/>
    <w:rsid w:val="30B6EAD1"/>
    <w:rsid w:val="30DEBD0C"/>
    <w:rsid w:val="333E8904"/>
    <w:rsid w:val="348FD919"/>
    <w:rsid w:val="358698BA"/>
    <w:rsid w:val="358901CC"/>
    <w:rsid w:val="358BA7D4"/>
    <w:rsid w:val="36B66982"/>
    <w:rsid w:val="36EE42F0"/>
    <w:rsid w:val="37337021"/>
    <w:rsid w:val="38306AC0"/>
    <w:rsid w:val="383BFC70"/>
    <w:rsid w:val="3925660B"/>
    <w:rsid w:val="3986DA1D"/>
    <w:rsid w:val="3999EC66"/>
    <w:rsid w:val="39DC21B0"/>
    <w:rsid w:val="3AA30550"/>
    <w:rsid w:val="3AE10A9A"/>
    <w:rsid w:val="3B335AF7"/>
    <w:rsid w:val="3B3940E8"/>
    <w:rsid w:val="3B3BEA98"/>
    <w:rsid w:val="3C2A1C8B"/>
    <w:rsid w:val="3C821B09"/>
    <w:rsid w:val="3C91C408"/>
    <w:rsid w:val="3D1F591C"/>
    <w:rsid w:val="3D81AE2F"/>
    <w:rsid w:val="3D8B7E66"/>
    <w:rsid w:val="3DEDEA57"/>
    <w:rsid w:val="3E62F5DA"/>
    <w:rsid w:val="401FC254"/>
    <w:rsid w:val="40459419"/>
    <w:rsid w:val="40A7629B"/>
    <w:rsid w:val="4233F94D"/>
    <w:rsid w:val="4241B039"/>
    <w:rsid w:val="43081063"/>
    <w:rsid w:val="43243999"/>
    <w:rsid w:val="43EC6C60"/>
    <w:rsid w:val="43FB1C23"/>
    <w:rsid w:val="4429D7B7"/>
    <w:rsid w:val="44B8E029"/>
    <w:rsid w:val="44C56B38"/>
    <w:rsid w:val="44E6EB81"/>
    <w:rsid w:val="45AC9CC1"/>
    <w:rsid w:val="46052442"/>
    <w:rsid w:val="468C3913"/>
    <w:rsid w:val="469055E1"/>
    <w:rsid w:val="47630407"/>
    <w:rsid w:val="47E38038"/>
    <w:rsid w:val="488D3647"/>
    <w:rsid w:val="495FB4DE"/>
    <w:rsid w:val="4AADE03E"/>
    <w:rsid w:val="4AAF67F7"/>
    <w:rsid w:val="4BAFC32F"/>
    <w:rsid w:val="4CCD7FE4"/>
    <w:rsid w:val="4D14A4BF"/>
    <w:rsid w:val="4D62AFC7"/>
    <w:rsid w:val="4E4D6F9E"/>
    <w:rsid w:val="4EBF4C46"/>
    <w:rsid w:val="4F7BF334"/>
    <w:rsid w:val="507271CE"/>
    <w:rsid w:val="50935120"/>
    <w:rsid w:val="5107B6FD"/>
    <w:rsid w:val="52285A2D"/>
    <w:rsid w:val="53914F43"/>
    <w:rsid w:val="551C2E24"/>
    <w:rsid w:val="559CC17D"/>
    <w:rsid w:val="55BB0CEB"/>
    <w:rsid w:val="56781458"/>
    <w:rsid w:val="58245202"/>
    <w:rsid w:val="59A11ACD"/>
    <w:rsid w:val="5A1E6773"/>
    <w:rsid w:val="5A5E432D"/>
    <w:rsid w:val="5C00E818"/>
    <w:rsid w:val="5D28CF52"/>
    <w:rsid w:val="5E0BE4D5"/>
    <w:rsid w:val="5E420ECC"/>
    <w:rsid w:val="5E556102"/>
    <w:rsid w:val="5E90AC2E"/>
    <w:rsid w:val="5ECC833A"/>
    <w:rsid w:val="5EE0C8CE"/>
    <w:rsid w:val="5F4E93C4"/>
    <w:rsid w:val="5F94AE7E"/>
    <w:rsid w:val="5FEAF805"/>
    <w:rsid w:val="6034B2F7"/>
    <w:rsid w:val="604E0B24"/>
    <w:rsid w:val="60E512AF"/>
    <w:rsid w:val="60E615FB"/>
    <w:rsid w:val="615728B1"/>
    <w:rsid w:val="618C2470"/>
    <w:rsid w:val="6277F4C8"/>
    <w:rsid w:val="63CB1924"/>
    <w:rsid w:val="66BB4631"/>
    <w:rsid w:val="66C3E5AD"/>
    <w:rsid w:val="67083C64"/>
    <w:rsid w:val="67F01BD3"/>
    <w:rsid w:val="690E247C"/>
    <w:rsid w:val="691760C7"/>
    <w:rsid w:val="6945821D"/>
    <w:rsid w:val="69AF7EE8"/>
    <w:rsid w:val="6A8F031D"/>
    <w:rsid w:val="6AFF4AA9"/>
    <w:rsid w:val="6B9153B1"/>
    <w:rsid w:val="6D2D841C"/>
    <w:rsid w:val="6E807C49"/>
    <w:rsid w:val="7180B822"/>
    <w:rsid w:val="71B9F988"/>
    <w:rsid w:val="71C872CA"/>
    <w:rsid w:val="71FE0981"/>
    <w:rsid w:val="720ECB95"/>
    <w:rsid w:val="722FA2A4"/>
    <w:rsid w:val="7428F32F"/>
    <w:rsid w:val="75BF64FC"/>
    <w:rsid w:val="75D3D5E3"/>
    <w:rsid w:val="76027CA1"/>
    <w:rsid w:val="760F3659"/>
    <w:rsid w:val="76F79357"/>
    <w:rsid w:val="796660DF"/>
    <w:rsid w:val="79B46857"/>
    <w:rsid w:val="7A60DC62"/>
    <w:rsid w:val="7A746EF1"/>
    <w:rsid w:val="7AC61DB8"/>
    <w:rsid w:val="7AD3EA98"/>
    <w:rsid w:val="7AE84777"/>
    <w:rsid w:val="7B6DA48E"/>
    <w:rsid w:val="7BF19906"/>
    <w:rsid w:val="7C648980"/>
    <w:rsid w:val="7E13CBF1"/>
    <w:rsid w:val="7F072074"/>
    <w:rsid w:val="7F79D242"/>
    <w:rsid w:val="7FB2670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0B7E9"/>
  <w15:docId w15:val="{2B47001F-0A16-465B-ADB2-3BD46A76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C2C"/>
    <w:rPr>
      <w:color w:val="0000FF" w:themeColor="hyperlink"/>
      <w:u w:val="single"/>
    </w:rPr>
  </w:style>
  <w:style w:type="character" w:styleId="UnresolvedMention">
    <w:name w:val="Unresolved Mention"/>
    <w:basedOn w:val="DefaultParagraphFont"/>
    <w:uiPriority w:val="99"/>
    <w:semiHidden/>
    <w:unhideWhenUsed/>
    <w:rsid w:val="00643C2C"/>
    <w:rPr>
      <w:color w:val="605E5C"/>
      <w:shd w:val="clear" w:color="auto" w:fill="E1DFDD"/>
    </w:rPr>
  </w:style>
  <w:style w:type="paragraph" w:styleId="Revision">
    <w:name w:val="Revision"/>
    <w:hidden/>
    <w:uiPriority w:val="99"/>
    <w:semiHidden/>
    <w:rsid w:val="00890FA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3A9B"/>
    <w:rPr>
      <w:sz w:val="16"/>
      <w:szCs w:val="16"/>
    </w:rPr>
  </w:style>
  <w:style w:type="paragraph" w:styleId="CommentText">
    <w:name w:val="annotation text"/>
    <w:basedOn w:val="Normal"/>
    <w:link w:val="CommentTextChar"/>
    <w:uiPriority w:val="99"/>
    <w:unhideWhenUsed/>
    <w:rsid w:val="00483A9B"/>
    <w:rPr>
      <w:sz w:val="20"/>
      <w:szCs w:val="20"/>
    </w:rPr>
  </w:style>
  <w:style w:type="character" w:customStyle="1" w:styleId="CommentTextChar">
    <w:name w:val="Comment Text Char"/>
    <w:basedOn w:val="DefaultParagraphFont"/>
    <w:link w:val="CommentText"/>
    <w:uiPriority w:val="99"/>
    <w:rsid w:val="00483A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3A9B"/>
    <w:rPr>
      <w:b/>
      <w:bCs/>
    </w:rPr>
  </w:style>
  <w:style w:type="character" w:customStyle="1" w:styleId="CommentSubjectChar">
    <w:name w:val="Comment Subject Char"/>
    <w:basedOn w:val="CommentTextChar"/>
    <w:link w:val="CommentSubject"/>
    <w:uiPriority w:val="99"/>
    <w:semiHidden/>
    <w:rsid w:val="00483A9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7162">
      <w:bodyDiv w:val="1"/>
      <w:marLeft w:val="0"/>
      <w:marRight w:val="0"/>
      <w:marTop w:val="0"/>
      <w:marBottom w:val="0"/>
      <w:divBdr>
        <w:top w:val="none" w:sz="0" w:space="0" w:color="auto"/>
        <w:left w:val="none" w:sz="0" w:space="0" w:color="auto"/>
        <w:bottom w:val="none" w:sz="0" w:space="0" w:color="auto"/>
        <w:right w:val="none" w:sz="0" w:space="0" w:color="auto"/>
      </w:divBdr>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jgebbels@mla.com.au" TargetMode="External"/><Relationship Id="rId26" Type="http://schemas.openxmlformats.org/officeDocument/2006/relationships/header" Target="header9.xml"/><Relationship Id="rId39" Type="http://schemas.openxmlformats.org/officeDocument/2006/relationships/hyperlink" Target="https://doi.org/https://doi.org/10.1016/j.agrformet.2021.108422" TargetMode="External"/><Relationship Id="rId21" Type="http://schemas.openxmlformats.org/officeDocument/2006/relationships/header" Target="header5.xml"/><Relationship Id="rId34" Type="http://schemas.openxmlformats.org/officeDocument/2006/relationships/hyperlink" Target="https://www.mla.com.au/globalassets/mla-corporate/research-and-development/documents/funding-oportunities/mla-project-funding-application-form---preliminary.docx" TargetMode="External"/><Relationship Id="rId42" Type="http://schemas.openxmlformats.org/officeDocument/2006/relationships/hyperlink" Target="https://doi.org/https://doi.org/10.1071/CP17135" TargetMode="External"/><Relationship Id="rId47" Type="http://schemas.openxmlformats.org/officeDocument/2006/relationships/header" Target="header15.xml"/><Relationship Id="rId50" Type="http://schemas.openxmlformats.org/officeDocument/2006/relationships/image" Target="media/image2.png"/><Relationship Id="rId55" Type="http://schemas.openxmlformats.org/officeDocument/2006/relationships/hyperlink" Target="mailto:RiskandCompliance@mla.com.au"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https://www.mla.com.au/globalassets/mla-corporate/research-and-development/documents/funding-oportunities/mla-project-funding-application-form---preliminary.docx" TargetMode="External"/><Relationship Id="rId37" Type="http://schemas.openxmlformats.org/officeDocument/2006/relationships/hyperlink" Target="mailto:jgebbels@mla.com.au" TargetMode="External"/><Relationship Id="rId40" Type="http://schemas.openxmlformats.org/officeDocument/2006/relationships/hyperlink" Target="https://grdc.com.au/__data/assets/pdf_file/0027/60984/managing_frost_risk_web.pdf.pdf" TargetMode="External"/><Relationship Id="rId45" Type="http://schemas.openxmlformats.org/officeDocument/2006/relationships/hyperlink" Target="http://www.mla.com.au/mla-agreements" TargetMode="External"/><Relationship Id="rId53" Type="http://schemas.openxmlformats.org/officeDocument/2006/relationships/image" Target="media/image5.png"/><Relationship Id="rId58" Type="http://schemas.openxmlformats.org/officeDocument/2006/relationships/header" Target="header18.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mla.com.au/globalassets/mla-corporate/research-and-development/documents/funding-oportunities/mla-project-funding-application-form---preliminary.docx" TargetMode="External"/><Relationship Id="rId35" Type="http://schemas.openxmlformats.org/officeDocument/2006/relationships/hyperlink" Target="mailto:projectcall@mla.com.au" TargetMode="External"/><Relationship Id="rId43" Type="http://schemas.openxmlformats.org/officeDocument/2006/relationships/header" Target="header13.xml"/><Relationship Id="rId48" Type="http://schemas.openxmlformats.org/officeDocument/2006/relationships/footer" Target="footer3.xml"/><Relationship Id="rId56" Type="http://schemas.openxmlformats.org/officeDocument/2006/relationships/header" Target="header17.xml"/><Relationship Id="rId8" Type="http://schemas.openxmlformats.org/officeDocument/2006/relationships/styles" Target="style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s://www.mla.com.au/globalassets/mla-corporate/docs/feedbase-budget-template_v2.xlsx" TargetMode="External"/><Relationship Id="rId38" Type="http://schemas.openxmlformats.org/officeDocument/2006/relationships/hyperlink" Target="https://doi.org/https://doi.org/10.1016/j.agsy.2012.04.003" TargetMode="External"/><Relationship Id="rId46" Type="http://schemas.openxmlformats.org/officeDocument/2006/relationships/header" Target="header14.xml"/><Relationship Id="rId5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hub.gga.org.au/podcast/silage-is-it-all-its-wrapped-up-to-be/" TargetMode="External"/><Relationship Id="rId54"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hyperlink" Target="mailto:jgebbels@mla.com.au" TargetMode="External"/><Relationship Id="rId49" Type="http://schemas.openxmlformats.org/officeDocument/2006/relationships/header" Target="header16.xml"/><Relationship Id="rId57" Type="http://schemas.openxmlformats.org/officeDocument/2006/relationships/footer" Target="footer4.xml"/><Relationship Id="rId10" Type="http://schemas.openxmlformats.org/officeDocument/2006/relationships/webSettings" Target="webSettings.xml"/><Relationship Id="rId31" Type="http://schemas.openxmlformats.org/officeDocument/2006/relationships/hyperlink" Target="https://www.mla.com.au/globalassets/mla-corporate/research-and-development/documents/funding-oportunities/mla-project-funding-application-guidelines_2024.pdf" TargetMode="External"/><Relationship Id="rId44" Type="http://schemas.openxmlformats.org/officeDocument/2006/relationships/hyperlink" Target="http://www.mla.com.au/about-mla/mla" TargetMode="External"/><Relationship Id="rId52" Type="http://schemas.openxmlformats.org/officeDocument/2006/relationships/image" Target="media/image4.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22356"/>
    <w:rsid w:val="00126F79"/>
    <w:rsid w:val="001D0FF2"/>
    <w:rsid w:val="002A590E"/>
    <w:rsid w:val="00343263"/>
    <w:rsid w:val="003935FA"/>
    <w:rsid w:val="003E39AD"/>
    <w:rsid w:val="004F0BE8"/>
    <w:rsid w:val="00670EFA"/>
    <w:rsid w:val="006C3AE3"/>
    <w:rsid w:val="00773304"/>
    <w:rsid w:val="00784275"/>
    <w:rsid w:val="00784285"/>
    <w:rsid w:val="008652C9"/>
    <w:rsid w:val="008C26F4"/>
    <w:rsid w:val="00B1325E"/>
    <w:rsid w:val="00B60DA4"/>
    <w:rsid w:val="00BE780E"/>
    <w:rsid w:val="00CB293F"/>
    <w:rsid w:val="00D013DC"/>
    <w:rsid w:val="00D14849"/>
    <w:rsid w:val="00D74EFE"/>
    <w:rsid w:val="00E04E80"/>
    <w:rsid w:val="00EC258E"/>
    <w:rsid w:val="00F2353C"/>
    <w:rsid w:val="00F3641F"/>
    <w:rsid w:val="00F50A1F"/>
    <w:rsid w:val="00F83EE1"/>
    <w:rsid w:val="00FD4B81"/>
    <w:rsid w:val="00FF24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PCFZEUR3HMRA-582714330-1142573</_dlc_DocId>
    <_dlc_DocIdUrl xmlns="406d9aec-898d-46cb-bf31-c4360018fedc">
      <Url>https://mlaus.sharepoint.com/sites/CRM/_layouts/15/DocIdRedir.aspx?ID=PCFZEUR3HMRA-582714330-1142573</Url>
      <Description>PCFZEUR3HMRA-582714330-1142573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f1d91e2af9e20391c9d8077e9b1b9353">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217f786282be57c6b30ae77f316f6628"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BCCC0-A19D-48BF-919A-E14CC5A16A48}">
  <ds:schemaRefs>
    <ds:schemaRef ds:uri="Microsoft.SharePoint.Taxonomy.ContentTypeSync"/>
  </ds:schemaRefs>
</ds:datastoreItem>
</file>

<file path=customXml/itemProps2.xml><?xml version="1.0" encoding="utf-8"?>
<ds:datastoreItem xmlns:ds="http://schemas.openxmlformats.org/officeDocument/2006/customXml" ds:itemID="{5A456CEB-4F93-4AB9-9256-D695D04A0ED8}">
  <ds:schemaRefs>
    <ds:schemaRef ds:uri="http://schemas.openxmlformats.org/officeDocument/2006/bibliography"/>
  </ds:schemaRefs>
</ds:datastoreItem>
</file>

<file path=customXml/itemProps3.xml><?xml version="1.0" encoding="utf-8"?>
<ds:datastoreItem xmlns:ds="http://schemas.openxmlformats.org/officeDocument/2006/customXml" ds:itemID="{6635D3F2-B20C-4A21-A178-C28536013A26}">
  <ds:schemaRefs>
    <ds:schemaRef ds:uri="http://schemas.microsoft.com/sharepoint/events"/>
  </ds:schemaRefs>
</ds:datastoreItem>
</file>

<file path=customXml/itemProps4.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5.xml><?xml version="1.0" encoding="utf-8"?>
<ds:datastoreItem xmlns:ds="http://schemas.openxmlformats.org/officeDocument/2006/customXml" ds:itemID="{7B551330-1CD0-4829-B776-DB3F0422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4DDFD15-E429-43F9-8632-05D53FD4A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7886</Words>
  <Characters>42664</Characters>
  <Application>Microsoft Office Word</Application>
  <DocSecurity>0</DocSecurity>
  <Lines>1376</Lines>
  <Paragraphs>765</Paragraphs>
  <ScaleCrop>false</ScaleCrop>
  <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Kimberley Ralph</cp:lastModifiedBy>
  <cp:revision>2</cp:revision>
  <dcterms:created xsi:type="dcterms:W3CDTF">2025-05-20T21:48:00Z</dcterms:created>
  <dcterms:modified xsi:type="dcterms:W3CDTF">2025-05-20T21:48:00Z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MediaServiceImageTags">
    <vt:lpwstr/>
  </property>
  <property fmtid="{D5CDD505-2E9C-101B-9397-08002B2CF9AE}" pid="14" name="_dlc_DocIdItemGuid">
    <vt:lpwstr>5e24ae34-12b0-48cd-a876-d4b7c6c8fc9b</vt:lpwstr>
  </property>
  <property fmtid="{D5CDD505-2E9C-101B-9397-08002B2CF9AE}" pid="15" name="lcf76f155ced4ddcb4097134ff3c332f">
    <vt:lpwstr/>
  </property>
  <property fmtid="{D5CDD505-2E9C-101B-9397-08002B2CF9AE}" pid="16" name="TaxCatchAll">
    <vt:lpwstr/>
  </property>
</Properties>
</file>