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8C9468" w14:textId="5D01984B" w:rsidR="008557E5" w:rsidRDefault="008557E5" w:rsidP="002D68E5">
      <w:pPr>
        <w:jc w:val="right"/>
        <w:rPr>
          <w:rFonts w:ascii="Arial" w:hAnsi="Arial" w:cs="Arial"/>
        </w:rPr>
      </w:pPr>
      <w:r>
        <w:rPr>
          <w:rFonts w:ascii="Arial" w:hAnsi="Arial" w:cs="Arial"/>
          <w:noProof/>
        </w:rPr>
        <w:t xml:space="preserve">   </w:t>
      </w:r>
      <w:r>
        <w:rPr>
          <w:rFonts w:ascii="Arial" w:hAnsi="Arial" w:cs="Arial"/>
        </w:rPr>
        <w:t xml:space="preserve">     </w:t>
      </w:r>
      <w:sdt>
        <w:sdtPr>
          <w:rPr>
            <w:noProof/>
            <w:lang w:eastAsia="en-AU"/>
          </w:rPr>
          <w:alias w:val="Partner logo"/>
          <w:tag w:val="Partner logo"/>
          <w:id w:val="1979643322"/>
          <w:picture/>
        </w:sdtPr>
        <w:sdtContent>
          <w:r w:rsidR="00DD6321" w:rsidRPr="00DD6321">
            <w:rPr>
              <w:noProof/>
              <w:lang w:eastAsia="en-AU"/>
            </w:rPr>
            <w:drawing>
              <wp:inline distT="0" distB="0" distL="0" distR="0" wp14:anchorId="299DF70D" wp14:editId="2C1B6D30">
                <wp:extent cx="958344" cy="584989"/>
                <wp:effectExtent l="0" t="0" r="0" b="0"/>
                <wp:docPr id="1225852629" name="Picture 122585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8344" cy="584989"/>
                        </a:xfrm>
                        <a:prstGeom prst="rect">
                          <a:avLst/>
                        </a:prstGeom>
                      </pic:spPr>
                    </pic:pic>
                  </a:graphicData>
                </a:graphic>
              </wp:inline>
            </w:drawing>
          </w:r>
        </w:sdtContent>
      </w:sdt>
      <w:r>
        <w:rPr>
          <w:rFonts w:ascii="Arial" w:hAnsi="Arial" w:cs="Arial"/>
        </w:rPr>
        <w:t xml:space="preserve">    </w:t>
      </w:r>
      <w:sdt>
        <w:sdtPr>
          <w:rPr>
            <w:b/>
            <w:noProof/>
          </w:rPr>
          <w:id w:val="-1806148522"/>
          <w:picture/>
        </w:sdtPr>
        <w:sdtContent>
          <w:r w:rsidR="004514FA" w:rsidRPr="004514FA">
            <w:rPr>
              <w:b/>
              <w:noProof/>
              <w:lang w:eastAsia="en-AU"/>
            </w:rPr>
            <w:drawing>
              <wp:inline distT="0" distB="0" distL="0" distR="0" wp14:anchorId="6F069B9F" wp14:editId="6B8D1F84">
                <wp:extent cx="1512000" cy="435600"/>
                <wp:effectExtent l="0" t="0" r="0" b="3175"/>
                <wp:docPr id="1" name="Picture 1" descr="C:\Users\dfw\AppData\Local\Microsoft\Windows\Temporary Internet Files\Content.Outlook\2H80CXMO\MDC Logo 2016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fw\AppData\Local\Microsoft\Windows\Temporary Internet Files\Content.Outlook\2H80CXMO\MDC Logo 2016  Co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2000" cy="435600"/>
                        </a:xfrm>
                        <a:prstGeom prst="rect">
                          <a:avLst/>
                        </a:prstGeom>
                        <a:noFill/>
                        <a:ln>
                          <a:noFill/>
                        </a:ln>
                      </pic:spPr>
                    </pic:pic>
                  </a:graphicData>
                </a:graphic>
              </wp:inline>
            </w:drawing>
          </w:r>
        </w:sdtContent>
      </w:sdt>
    </w:p>
    <w:p w14:paraId="70260550" w14:textId="77777777" w:rsidR="008557E5" w:rsidRPr="00AD6E18" w:rsidRDefault="008557E5" w:rsidP="002D68E5">
      <w:pPr>
        <w:jc w:val="right"/>
        <w:rPr>
          <w:rFonts w:ascii="Arial" w:hAnsi="Arial" w:cs="Arial"/>
        </w:rPr>
      </w:pPr>
    </w:p>
    <w:p w14:paraId="7DA6BC5A" w14:textId="5BD87ED5" w:rsidR="008557E5" w:rsidRPr="00F67167" w:rsidRDefault="008557E5" w:rsidP="002D68E5">
      <w:pPr>
        <w:spacing w:before="240"/>
        <w:rPr>
          <w:rFonts w:cs="Arial"/>
          <w:b/>
          <w:color w:val="007549"/>
          <w:sz w:val="84"/>
          <w:szCs w:val="84"/>
        </w:rPr>
      </w:pPr>
      <w:r>
        <w:rPr>
          <w:rFonts w:cs="Arial"/>
          <w:b/>
          <w:noProof/>
          <w:color w:val="007549"/>
          <w:sz w:val="84"/>
          <w:szCs w:val="84"/>
          <w:lang w:eastAsia="en-AU"/>
        </w:rPr>
        <mc:AlternateContent>
          <mc:Choice Requires="wps">
            <w:drawing>
              <wp:anchor distT="0" distB="0" distL="114300" distR="114300" simplePos="0" relativeHeight="251659264" behindDoc="0" locked="0" layoutInCell="1" allowOverlap="1" wp14:anchorId="3321A11D" wp14:editId="2C2EA99B">
                <wp:simplePos x="0" y="0"/>
                <wp:positionH relativeFrom="margin">
                  <wp:align>right</wp:align>
                </wp:positionH>
                <wp:positionV relativeFrom="paragraph">
                  <wp:posOffset>795150</wp:posOffset>
                </wp:positionV>
                <wp:extent cx="5722883" cy="0"/>
                <wp:effectExtent l="0" t="0" r="30480" b="19050"/>
                <wp:wrapNone/>
                <wp:docPr id="6" name="Straight Connector 6"/>
                <wp:cNvGraphicFramePr/>
                <a:graphic xmlns:a="http://schemas.openxmlformats.org/drawingml/2006/main">
                  <a:graphicData uri="http://schemas.microsoft.com/office/word/2010/wordprocessingShape">
                    <wps:wsp>
                      <wps:cNvCnPr/>
                      <wps:spPr>
                        <a:xfrm flipV="1">
                          <a:off x="0" y="0"/>
                          <a:ext cx="5722883"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32E0AF" id="Straight Connector 6"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4pt,62.6pt" to="850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" strokecolor="black [3200]">
                <v:stroke joinstyle="miter"/>
                <w10:wrap anchorx="margin"/>
              </v:line>
            </w:pict>
          </mc:Fallback>
        </mc:AlternateContent>
      </w:r>
      <w:r>
        <w:rPr>
          <w:rFonts w:cs="Arial"/>
          <w:b/>
          <w:color w:val="007549"/>
          <w:sz w:val="84"/>
          <w:szCs w:val="84"/>
        </w:rPr>
        <w:t>Final</w:t>
      </w:r>
      <w:r w:rsidRPr="00F67167">
        <w:rPr>
          <w:rFonts w:cs="Arial"/>
          <w:b/>
          <w:color w:val="007549"/>
          <w:sz w:val="84"/>
          <w:szCs w:val="84"/>
        </w:rPr>
        <w:t xml:space="preserve"> report</w:t>
      </w:r>
    </w:p>
    <w:p w14:paraId="0094D74A" w14:textId="77777777" w:rsidR="008557E5" w:rsidRDefault="008557E5" w:rsidP="002D68E5">
      <w:pPr>
        <w:rPr>
          <w:rFonts w:cs="Arial"/>
        </w:rPr>
      </w:pPr>
    </w:p>
    <w:p w14:paraId="6913D878" w14:textId="77777777" w:rsidR="008557E5" w:rsidRDefault="008557E5" w:rsidP="002D68E5">
      <w:pPr>
        <w:rPr>
          <w:rFonts w:cs="Arial"/>
        </w:rPr>
      </w:pPr>
    </w:p>
    <w:p w14:paraId="39646257" w14:textId="154054E1" w:rsidR="008557E5" w:rsidRDefault="00D74D9D" w:rsidP="002D68E5">
      <w:pPr>
        <w:rPr>
          <w:rFonts w:cs="Arial"/>
        </w:rPr>
      </w:pPr>
      <w:sdt>
        <w:sdtPr>
          <w:rPr>
            <w:rFonts w:cs="Arial"/>
            <w:b/>
            <w:sz w:val="44"/>
            <w:szCs w:val="44"/>
          </w:rPr>
          <w:id w:val="-748425034"/>
          <w:placeholder>
            <w:docPart w:val="843BEFE5F71C46759159C220782A98A5"/>
          </w:placeholder>
          <w:text w:multiLine="1"/>
        </w:sdtPr>
        <w:sdtContent>
          <w:r w:rsidR="00DD6321" w:rsidRPr="00DD6321">
            <w:rPr>
              <w:rFonts w:cs="Arial"/>
              <w:b/>
              <w:sz w:val="44"/>
              <w:szCs w:val="44"/>
            </w:rPr>
            <w:t xml:space="preserve">Unlocking value chain impact claims for the Australian red meat sector </w:t>
          </w:r>
          <w:r w:rsidR="00DD6321" w:rsidRPr="00DD6321">
            <w:rPr>
              <w:rFonts w:cs="Arial"/>
              <w:b/>
              <w:sz w:val="44"/>
              <w:szCs w:val="44"/>
            </w:rPr>
            <w:br/>
          </w:r>
          <w:r w:rsidR="00DD6321" w:rsidRPr="00DD6321">
            <w:rPr>
              <w:rFonts w:cs="Arial"/>
              <w:b/>
              <w:sz w:val="44"/>
              <w:szCs w:val="44"/>
            </w:rPr>
            <w:br/>
          </w:r>
          <w:r w:rsidR="00DD6321" w:rsidRPr="00DD6321">
            <w:rPr>
              <w:rFonts w:cs="Arial"/>
              <w:b/>
              <w:sz w:val="44"/>
              <w:szCs w:val="44"/>
            </w:rPr>
            <w:br/>
          </w:r>
        </w:sdtContent>
      </w:sdt>
    </w:p>
    <w:p w14:paraId="5B1D7460" w14:textId="0F66E78C" w:rsidR="008557E5" w:rsidRPr="00D630D9" w:rsidRDefault="00D74D9D" w:rsidP="002D68E5">
      <w:pPr>
        <w:rPr>
          <w:rFonts w:cs="Arial"/>
        </w:rPr>
      </w:pPr>
      <w:sdt>
        <w:sdtPr>
          <w:rPr>
            <w:rFonts w:cs="Arial"/>
          </w:rPr>
          <w:id w:val="-178279416"/>
          <w:lock w:val="contentLocked"/>
          <w:placeholder>
            <w:docPart w:val="DBCE0B35C47144D4B7B056F919F5F15B"/>
          </w:placeholder>
          <w:group/>
        </w:sdtPr>
        <w:sdtContent>
          <w:r w:rsidR="008557E5" w:rsidRPr="00D630D9">
            <w:rPr>
              <w:rFonts w:cs="Arial"/>
            </w:rPr>
            <w:t>Project code:</w:t>
          </w:r>
        </w:sdtContent>
      </w:sdt>
      <w:r w:rsidR="008557E5" w:rsidRPr="00D630D9">
        <w:rPr>
          <w:rFonts w:cs="Arial"/>
        </w:rPr>
        <w:tab/>
      </w:r>
      <w:r w:rsidR="008557E5" w:rsidRPr="00D630D9">
        <w:rPr>
          <w:rFonts w:cs="Arial"/>
        </w:rPr>
        <w:tab/>
      </w:r>
      <w:r w:rsidR="008557E5" w:rsidRPr="00D630D9">
        <w:rPr>
          <w:rFonts w:cs="Arial"/>
        </w:rPr>
        <w:tab/>
      </w:r>
      <w:sdt>
        <w:sdtPr>
          <w:rPr>
            <w:rFonts w:cs="Arial"/>
          </w:rPr>
          <w:id w:val="-1825501772"/>
          <w:placeholder>
            <w:docPart w:val="3A9420F655E94BFEB3A7417E357BDCC9"/>
          </w:placeholder>
          <w:text/>
        </w:sdtPr>
        <w:sdtContent>
          <w:r w:rsidR="00DD6321">
            <w:rPr>
              <w:rFonts w:cs="Arial"/>
            </w:rPr>
            <w:t>P.PSH.1203</w:t>
          </w:r>
        </w:sdtContent>
      </w:sdt>
    </w:p>
    <w:p w14:paraId="14067FBD" w14:textId="0168DE49" w:rsidR="008557E5" w:rsidRPr="00D630D9" w:rsidRDefault="008557E5" w:rsidP="002D68E5">
      <w:pPr>
        <w:tabs>
          <w:tab w:val="left" w:pos="720"/>
          <w:tab w:val="left" w:pos="1440"/>
          <w:tab w:val="left" w:pos="2160"/>
          <w:tab w:val="left" w:pos="2880"/>
          <w:tab w:val="left" w:pos="3600"/>
          <w:tab w:val="left" w:pos="4320"/>
          <w:tab w:val="left" w:pos="5040"/>
          <w:tab w:val="left" w:pos="6180"/>
        </w:tabs>
        <w:spacing w:after="0"/>
        <w:rPr>
          <w:rFonts w:cs="Arial"/>
        </w:rPr>
      </w:pPr>
      <w:r w:rsidRPr="00D630D9">
        <w:rPr>
          <w:rFonts w:cs="Arial"/>
        </w:rPr>
        <w:t>Prepared by:</w:t>
      </w:r>
      <w:r w:rsidRPr="00D630D9">
        <w:rPr>
          <w:rFonts w:cs="Arial"/>
        </w:rPr>
        <w:tab/>
      </w:r>
      <w:r w:rsidRPr="00D630D9">
        <w:rPr>
          <w:rFonts w:cs="Arial"/>
        </w:rPr>
        <w:tab/>
      </w:r>
      <w:r w:rsidRPr="00D630D9">
        <w:rPr>
          <w:rFonts w:cs="Arial"/>
        </w:rPr>
        <w:tab/>
      </w:r>
      <w:sdt>
        <w:sdtPr>
          <w:rPr>
            <w:rFonts w:cs="Arial"/>
          </w:rPr>
          <w:id w:val="1810204037"/>
          <w:placeholder>
            <w:docPart w:val="333EAFD3FD5546428128FF4B78D3814B"/>
          </w:placeholder>
          <w:text/>
        </w:sdtPr>
        <w:sdtContent>
          <w:r w:rsidR="00DD6321" w:rsidRPr="00DD6321">
            <w:rPr>
              <w:rFonts w:cs="Arial"/>
            </w:rPr>
            <w:t>Louise Robb</w:t>
          </w:r>
        </w:sdtContent>
      </w:sdt>
    </w:p>
    <w:p w14:paraId="585F289C" w14:textId="4A36F679" w:rsidR="008557E5" w:rsidRPr="00D630D9" w:rsidRDefault="008557E5" w:rsidP="002D68E5">
      <w:pPr>
        <w:tabs>
          <w:tab w:val="left" w:pos="720"/>
          <w:tab w:val="left" w:pos="1440"/>
          <w:tab w:val="left" w:pos="2160"/>
          <w:tab w:val="left" w:pos="2880"/>
          <w:tab w:val="left" w:pos="3600"/>
          <w:tab w:val="left" w:pos="4320"/>
          <w:tab w:val="left" w:pos="5040"/>
          <w:tab w:val="left" w:pos="6180"/>
        </w:tabs>
        <w:spacing w:after="0"/>
        <w:rPr>
          <w:rFonts w:cs="Arial"/>
        </w:rPr>
      </w:pPr>
      <w:r w:rsidRPr="00D630D9">
        <w:rPr>
          <w:rFonts w:cs="Arial"/>
        </w:rPr>
        <w:tab/>
      </w:r>
      <w:r w:rsidRPr="00D630D9">
        <w:rPr>
          <w:rFonts w:cs="Arial"/>
        </w:rPr>
        <w:tab/>
      </w:r>
      <w:r w:rsidRPr="00D630D9">
        <w:rPr>
          <w:rFonts w:cs="Arial"/>
        </w:rPr>
        <w:tab/>
      </w:r>
      <w:r w:rsidRPr="00D630D9">
        <w:rPr>
          <w:rFonts w:cs="Arial"/>
        </w:rPr>
        <w:tab/>
      </w:r>
      <w:sdt>
        <w:sdtPr>
          <w:rPr>
            <w:rFonts w:cs="Arial"/>
          </w:rPr>
          <w:id w:val="-17392092"/>
          <w:placeholder>
            <w:docPart w:val="E636EEC1217F461FB64CB87A8296BA52"/>
          </w:placeholder>
          <w:text/>
        </w:sdtPr>
        <w:sdtContent>
          <w:r w:rsidR="00E31B8F">
            <w:rPr>
              <w:rFonts w:cs="Arial"/>
            </w:rPr>
            <w:t>SustainCERT</w:t>
          </w:r>
        </w:sdtContent>
      </w:sdt>
    </w:p>
    <w:p w14:paraId="55A5D64A" w14:textId="77777777" w:rsidR="008557E5" w:rsidRPr="00D630D9" w:rsidRDefault="008557E5" w:rsidP="002D68E5">
      <w:pPr>
        <w:spacing w:after="0"/>
        <w:rPr>
          <w:rFonts w:cs="Arial"/>
        </w:rPr>
      </w:pPr>
    </w:p>
    <w:p w14:paraId="561ACB1E" w14:textId="5D48CFBA" w:rsidR="008557E5" w:rsidRPr="00D630D9" w:rsidRDefault="00D74D9D" w:rsidP="002D68E5">
      <w:pPr>
        <w:spacing w:after="0"/>
        <w:rPr>
          <w:rFonts w:cs="Arial"/>
        </w:rPr>
      </w:pPr>
      <w:sdt>
        <w:sdtPr>
          <w:rPr>
            <w:rFonts w:cs="Arial"/>
          </w:rPr>
          <w:id w:val="-1408071559"/>
          <w:lock w:val="contentLocked"/>
          <w:placeholder>
            <w:docPart w:val="DBCE0B35C47144D4B7B056F919F5F15B"/>
          </w:placeholder>
          <w:group/>
        </w:sdtPr>
        <w:sdtContent>
          <w:r w:rsidR="008557E5" w:rsidRPr="00D630D9">
            <w:rPr>
              <w:rFonts w:cs="Arial"/>
            </w:rPr>
            <w:t>Date published:</w:t>
          </w:r>
        </w:sdtContent>
      </w:sdt>
      <w:r w:rsidR="008557E5" w:rsidRPr="00D630D9">
        <w:rPr>
          <w:rFonts w:cs="Arial"/>
        </w:rPr>
        <w:tab/>
      </w:r>
      <w:r w:rsidR="008557E5">
        <w:rPr>
          <w:rFonts w:cs="Arial"/>
        </w:rPr>
        <w:tab/>
      </w:r>
      <w:r w:rsidR="008557E5" w:rsidRPr="00D630D9">
        <w:rPr>
          <w:rFonts w:cs="Arial"/>
        </w:rPr>
        <w:tab/>
      </w:r>
      <w:sdt>
        <w:sdtPr>
          <w:rPr>
            <w:rFonts w:cs="Arial"/>
          </w:rPr>
          <w:id w:val="-4363688"/>
          <w:placeholder>
            <w:docPart w:val="6BD69FC95E12422593E7917A75BFDDDF"/>
          </w:placeholder>
          <w:text/>
        </w:sdtPr>
        <w:sdtContent>
          <w:r w:rsidR="00DD6321" w:rsidRPr="00DD6321">
            <w:rPr>
              <w:rFonts w:cs="Arial"/>
            </w:rPr>
            <w:t>1</w:t>
          </w:r>
          <w:r w:rsidR="009F08BC">
            <w:rPr>
              <w:rFonts w:cs="Arial"/>
            </w:rPr>
            <w:t>5</w:t>
          </w:r>
          <w:r w:rsidR="00DD6321" w:rsidRPr="00DD6321">
            <w:rPr>
              <w:rFonts w:cs="Arial"/>
            </w:rPr>
            <w:t xml:space="preserve"> November 2021</w:t>
          </w:r>
        </w:sdtContent>
      </w:sdt>
    </w:p>
    <w:p w14:paraId="5CEF2FDD" w14:textId="096D95CA" w:rsidR="008557E5" w:rsidRDefault="008557E5" w:rsidP="002D68E5">
      <w:pPr>
        <w:spacing w:after="0" w:line="240" w:lineRule="auto"/>
        <w:rPr>
          <w:rFonts w:cs="Arial"/>
        </w:rPr>
      </w:pPr>
    </w:p>
    <w:p w14:paraId="2AA8F125" w14:textId="77777777" w:rsidR="00801A5F" w:rsidRDefault="00801A5F" w:rsidP="00801A5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PUBLISHED BY</w:t>
      </w:r>
      <w:r>
        <w:rPr>
          <w:rStyle w:val="eop"/>
          <w:rFonts w:ascii="Calibri" w:hAnsi="Calibri" w:cs="Calibri"/>
          <w:sz w:val="22"/>
          <w:szCs w:val="22"/>
        </w:rPr>
        <w:t> </w:t>
      </w:r>
    </w:p>
    <w:p w14:paraId="2E37E133" w14:textId="77777777" w:rsidR="00801A5F" w:rsidRDefault="00801A5F" w:rsidP="00801A5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Meat &amp; Livestock Australia Limited</w:t>
      </w:r>
      <w:r>
        <w:rPr>
          <w:rStyle w:val="eop"/>
          <w:rFonts w:ascii="Calibri" w:hAnsi="Calibri" w:cs="Calibri"/>
          <w:sz w:val="22"/>
          <w:szCs w:val="22"/>
        </w:rPr>
        <w:t> </w:t>
      </w:r>
    </w:p>
    <w:p w14:paraId="30C72351" w14:textId="77777777" w:rsidR="00801A5F" w:rsidRDefault="00801A5F" w:rsidP="00801A5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PO Box 1961</w:t>
      </w:r>
      <w:r>
        <w:rPr>
          <w:rStyle w:val="eop"/>
          <w:rFonts w:ascii="Calibri" w:hAnsi="Calibri" w:cs="Calibri"/>
          <w:sz w:val="22"/>
          <w:szCs w:val="22"/>
        </w:rPr>
        <w:t> </w:t>
      </w:r>
    </w:p>
    <w:p w14:paraId="62A2A055" w14:textId="77777777" w:rsidR="00801A5F" w:rsidRDefault="00801A5F" w:rsidP="00801A5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NORTH SYDNEY NSW 2059</w:t>
      </w:r>
      <w:r>
        <w:rPr>
          <w:rStyle w:val="eop"/>
          <w:rFonts w:ascii="Calibri" w:hAnsi="Calibri" w:cs="Calibri"/>
          <w:sz w:val="22"/>
          <w:szCs w:val="22"/>
        </w:rPr>
        <w:t> </w:t>
      </w:r>
    </w:p>
    <w:p w14:paraId="4C182193" w14:textId="3E05E40B" w:rsidR="00801A5F" w:rsidRDefault="00801A5F" w:rsidP="002D68E5">
      <w:pPr>
        <w:spacing w:after="0" w:line="240" w:lineRule="auto"/>
        <w:rPr>
          <w:rFonts w:cs="Arial"/>
        </w:rPr>
      </w:pPr>
    </w:p>
    <w:p w14:paraId="030A545D" w14:textId="2F585734" w:rsidR="00801A5F" w:rsidRDefault="00801A5F" w:rsidP="002D68E5">
      <w:pPr>
        <w:spacing w:after="0" w:line="240" w:lineRule="auto"/>
        <w:rPr>
          <w:rFonts w:cs="Arial"/>
        </w:rPr>
      </w:pPr>
    </w:p>
    <w:p w14:paraId="6B163649" w14:textId="77777777" w:rsidR="00801A5F" w:rsidRDefault="00801A5F" w:rsidP="002D68E5">
      <w:pPr>
        <w:spacing w:after="0" w:line="240" w:lineRule="auto"/>
        <w:rPr>
          <w:rFonts w:cs="Arial"/>
        </w:rPr>
      </w:pPr>
    </w:p>
    <w:p w14:paraId="54EDD87C" w14:textId="77777777" w:rsidR="00801A5F" w:rsidRPr="002709E9" w:rsidRDefault="00801A5F" w:rsidP="00801A5F">
      <w:pPr>
        <w:rPr>
          <w:rFonts w:cs="Arial"/>
        </w:rPr>
      </w:pPr>
      <w:r w:rsidRPr="002709E9">
        <w:rPr>
          <w:rFonts w:cs="Arial"/>
        </w:rPr>
        <w:t>This is an MLA Donor Company funded project.</w:t>
      </w:r>
    </w:p>
    <w:p w14:paraId="4396EA08" w14:textId="081F3E8E" w:rsidR="00801A5F" w:rsidRPr="002709E9" w:rsidRDefault="00801A5F" w:rsidP="00801A5F">
      <w:pPr>
        <w:rPr>
          <w:rFonts w:cs="Arial"/>
        </w:rPr>
      </w:pPr>
      <w:r w:rsidRPr="002709E9">
        <w:rPr>
          <w:rFonts w:cs="Arial"/>
        </w:rPr>
        <w:t>Meat &amp; Livestock Australia acknowledges the matching funds provided by the Australian Government to support the research and development detailed in this publication.</w:t>
      </w:r>
    </w:p>
    <w:p w14:paraId="0E071D78" w14:textId="77777777" w:rsidR="00801A5F" w:rsidRPr="002709E9" w:rsidRDefault="00801A5F" w:rsidP="00B67489">
      <w:pPr>
        <w:pStyle w:val="MLAfinalreportText"/>
        <w:rPr>
          <w:rStyle w:val="MLAdisclaimerCharChar"/>
          <w:rFonts w:eastAsiaTheme="majorEastAsia"/>
        </w:rPr>
      </w:pPr>
      <w:r w:rsidRPr="002709E9">
        <w:rPr>
          <w:rStyle w:val="MLAdisclaimerCharChar"/>
          <w:rFonts w:eastAsiaTheme="majorEastAsia"/>
        </w:rPr>
        <w:t>This publication is published by Meat &amp; Livestock Australia Limited ABN 39 081 678 364 (MLA). Care is taken to ensure the accuracy of the information contained in this publication. However MLA cannot accept responsibility for the accuracy or completeness of the information or opinions contained in the publication. You should</w:t>
      </w:r>
      <w:r w:rsidRPr="002709E9">
        <w:t xml:space="preserve"> </w:t>
      </w:r>
      <w:r w:rsidRPr="002709E9">
        <w:rPr>
          <w:rStyle w:val="MLAdisclaimerCharChar"/>
          <w:rFonts w:eastAsiaTheme="majorEastAsia"/>
        </w:rPr>
        <w:t>make your own enquiries before making decisions concerning your interests. Reproduction in whole or in part of this publication is prohibited without prior written consent of MLA.</w:t>
      </w:r>
    </w:p>
    <w:p w14:paraId="42022BA2" w14:textId="77777777" w:rsidR="00801A5F" w:rsidRPr="00D630D9" w:rsidRDefault="00801A5F" w:rsidP="00B67489">
      <w:pPr>
        <w:pStyle w:val="MLAfinalreportText"/>
        <w:rPr>
          <w:rStyle w:val="MLAdisclaimerCharChar"/>
          <w:rFonts w:eastAsiaTheme="majorEastAsia"/>
        </w:rPr>
      </w:pPr>
    </w:p>
    <w:p w14:paraId="0C961979" w14:textId="38DAD40E" w:rsidR="004514FA" w:rsidRPr="002709E9" w:rsidRDefault="004514FA" w:rsidP="00B67489">
      <w:pPr>
        <w:pStyle w:val="MLAfinalreportText"/>
        <w:rPr>
          <w:rStyle w:val="MLAdisclaimerCharChar"/>
          <w:rFonts w:eastAsiaTheme="majorEastAsia"/>
        </w:rPr>
      </w:pPr>
    </w:p>
    <w:p w14:paraId="6633E2CA" w14:textId="28EA568A" w:rsidR="008557E5" w:rsidRPr="00D630D9" w:rsidRDefault="008557E5" w:rsidP="00B67489">
      <w:pPr>
        <w:pStyle w:val="MLAfinalreportText"/>
        <w:rPr>
          <w:rStyle w:val="MLAdisclaimerCharChar"/>
          <w:rFonts w:eastAsiaTheme="majorEastAsia"/>
        </w:rPr>
      </w:pPr>
    </w:p>
    <w:p w14:paraId="50549F25" w14:textId="77777777" w:rsidR="00DD6321" w:rsidRPr="00DD6321" w:rsidRDefault="008557E5" w:rsidP="00B67489">
      <w:pPr>
        <w:pStyle w:val="MLAfinalreportText"/>
      </w:pPr>
      <w:r>
        <w:br w:type="page"/>
      </w:r>
    </w:p>
    <w:p w14:paraId="6E9B7A06" w14:textId="77777777" w:rsidR="00DD6321" w:rsidRPr="005553BF" w:rsidRDefault="00DD6321" w:rsidP="00DD6321">
      <w:pPr>
        <w:pStyle w:val="Heading1"/>
      </w:pPr>
      <w:bookmarkStart w:id="0" w:name="_Toc88494268"/>
      <w:r w:rsidRPr="005553BF">
        <w:lastRenderedPageBreak/>
        <w:t>Abstract</w:t>
      </w:r>
      <w:bookmarkEnd w:id="0"/>
    </w:p>
    <w:p w14:paraId="5DA5275F" w14:textId="77777777" w:rsidR="00DD6321" w:rsidRDefault="00DD6321" w:rsidP="00B67489">
      <w:pPr>
        <w:pStyle w:val="MLAfinalreportText"/>
      </w:pPr>
    </w:p>
    <w:p w14:paraId="23E456A2" w14:textId="6188ADCB" w:rsidR="00DD6321" w:rsidRPr="00B67489" w:rsidRDefault="00C3283E" w:rsidP="00B67489">
      <w:pPr>
        <w:pStyle w:val="MLAfinalreportText"/>
        <w:rPr>
          <w:i w:val="0"/>
        </w:rPr>
      </w:pPr>
      <w:r w:rsidRPr="00B67489">
        <w:rPr>
          <w:i w:val="0"/>
        </w:rPr>
        <w:t xml:space="preserve">Consumers require product certification to buy-in to low carbon or carbon neutral products and services. </w:t>
      </w:r>
      <w:r w:rsidR="00D07393" w:rsidRPr="00B67489">
        <w:rPr>
          <w:i w:val="0"/>
        </w:rPr>
        <w:t>SustainCERT, the official certification body for Gold Standard for the Global Goals, is designing and developing a digitised pathway for consumers and other value chain participants to recognise and reward producers of high-quality low carbon and carbon neutral red meat product.</w:t>
      </w:r>
    </w:p>
    <w:p w14:paraId="09DC46A4" w14:textId="77777777" w:rsidR="00DD6321" w:rsidRPr="00B67489" w:rsidRDefault="00DD6321" w:rsidP="00B67489">
      <w:pPr>
        <w:pStyle w:val="MLAfinalreportText"/>
        <w:rPr>
          <w:i w:val="0"/>
        </w:rPr>
      </w:pPr>
    </w:p>
    <w:p w14:paraId="628EC77C" w14:textId="77777777" w:rsidR="00DD6321" w:rsidRPr="00B67489" w:rsidRDefault="00DD6321" w:rsidP="00B67489">
      <w:pPr>
        <w:pStyle w:val="MLAfinalreportText"/>
        <w:rPr>
          <w:i w:val="0"/>
        </w:rPr>
      </w:pPr>
      <w:r w:rsidRPr="00B67489">
        <w:rPr>
          <w:i w:val="0"/>
        </w:rPr>
        <w:t xml:space="preserve">The key benefits to the industry include the development of pathways to create value for producers as well as other red meat industry supply chain actors through the reduction of greenhouse gas emissions and enabling buyers to make claims on ‘lower emission intensity of red meat’ as an alternative to the creation of carbon credits. The design of the SustainCERT platform includes innovation for attributes such as improved emissions factors of red meat to be claimed by the owner of an intervention and the buyer of the red meat and for the benefit to be retained within the industry without issues of double counting. </w:t>
      </w:r>
    </w:p>
    <w:p w14:paraId="1A87CBF2" w14:textId="77777777" w:rsidR="00DD6321" w:rsidRPr="0004025F" w:rsidRDefault="00DD6321" w:rsidP="00B67489">
      <w:pPr>
        <w:pStyle w:val="MLAfinalreportText"/>
      </w:pPr>
    </w:p>
    <w:p w14:paraId="30978C2C" w14:textId="20D447DA" w:rsidR="00DD6321" w:rsidRDefault="00DD6321" w:rsidP="00B67489">
      <w:pPr>
        <w:pStyle w:val="MLAfinalreportText"/>
      </w:pPr>
    </w:p>
    <w:p w14:paraId="0AD533F1" w14:textId="418057BD" w:rsidR="00706D06" w:rsidRDefault="00706D06" w:rsidP="00B67489">
      <w:pPr>
        <w:pStyle w:val="MLAfinalreportText"/>
      </w:pPr>
    </w:p>
    <w:p w14:paraId="73B2C9AB" w14:textId="77777777" w:rsidR="00706D06" w:rsidRDefault="00706D06" w:rsidP="00B67489">
      <w:pPr>
        <w:pStyle w:val="MLAfinalreportText"/>
      </w:pPr>
    </w:p>
    <w:p w14:paraId="04F049DF" w14:textId="07B5644E" w:rsidR="000337EB" w:rsidRDefault="000337EB" w:rsidP="00B67489">
      <w:pPr>
        <w:pStyle w:val="MLAfinalreportText"/>
      </w:pPr>
      <w:bookmarkStart w:id="1" w:name="_Toc384863401"/>
      <w:bookmarkStart w:id="2" w:name="_Toc384914821"/>
      <w:bookmarkStart w:id="3" w:name="_Toc384918536"/>
      <w:bookmarkStart w:id="4" w:name="_Toc384918762"/>
      <w:bookmarkStart w:id="5" w:name="_Toc392152640"/>
      <w:bookmarkStart w:id="6" w:name="_Toc392153290"/>
      <w:bookmarkStart w:id="7" w:name="_Toc392153578"/>
      <w:bookmarkStart w:id="8" w:name="_Toc398015262"/>
      <w:bookmarkStart w:id="9" w:name="_Toc398022435"/>
      <w:bookmarkStart w:id="10" w:name="_Toc398022920"/>
    </w:p>
    <w:p w14:paraId="54D5B57D" w14:textId="4CB48E2E" w:rsidR="005553BF" w:rsidRDefault="005553BF" w:rsidP="00B67489">
      <w:pPr>
        <w:pStyle w:val="MLAfinalreportText"/>
      </w:pPr>
    </w:p>
    <w:p w14:paraId="45BF5094" w14:textId="69C67E24" w:rsidR="005553BF" w:rsidRDefault="005553BF" w:rsidP="00B67489">
      <w:pPr>
        <w:pStyle w:val="MLAfinalreportText"/>
      </w:pPr>
    </w:p>
    <w:p w14:paraId="7EE2238F" w14:textId="59165AB7" w:rsidR="005553BF" w:rsidRDefault="005553BF" w:rsidP="00B67489">
      <w:pPr>
        <w:pStyle w:val="MLAfinalreportText"/>
      </w:pPr>
    </w:p>
    <w:p w14:paraId="49A2F58C" w14:textId="6363AD7B" w:rsidR="005553BF" w:rsidRDefault="005553BF" w:rsidP="00B67489">
      <w:pPr>
        <w:pStyle w:val="MLAfinalreportText"/>
      </w:pPr>
    </w:p>
    <w:p w14:paraId="02033B4D" w14:textId="3F56A02F" w:rsidR="005553BF" w:rsidRDefault="005553BF" w:rsidP="00B67489">
      <w:pPr>
        <w:pStyle w:val="MLAfinalreportText"/>
      </w:pPr>
    </w:p>
    <w:p w14:paraId="794C0DFA" w14:textId="2D65E16F" w:rsidR="005553BF" w:rsidRDefault="005553BF" w:rsidP="00B67489">
      <w:pPr>
        <w:pStyle w:val="MLAfinalreportText"/>
      </w:pPr>
    </w:p>
    <w:p w14:paraId="388621B6" w14:textId="27F0AC6D" w:rsidR="005553BF" w:rsidRDefault="005553BF" w:rsidP="00B67489">
      <w:pPr>
        <w:pStyle w:val="MLAfinalreportText"/>
      </w:pPr>
    </w:p>
    <w:p w14:paraId="5713A07F" w14:textId="113F48CB" w:rsidR="005553BF" w:rsidRDefault="005553BF" w:rsidP="00B67489">
      <w:pPr>
        <w:pStyle w:val="MLAfinalreportText"/>
      </w:pPr>
    </w:p>
    <w:p w14:paraId="43D84C04" w14:textId="4719CFDE" w:rsidR="005553BF" w:rsidRDefault="005553BF" w:rsidP="00B67489">
      <w:pPr>
        <w:pStyle w:val="MLAfinalreportText"/>
      </w:pPr>
    </w:p>
    <w:p w14:paraId="444842BA" w14:textId="0AF81460" w:rsidR="005553BF" w:rsidRDefault="005553BF" w:rsidP="00B67489">
      <w:pPr>
        <w:pStyle w:val="MLAfinalreportText"/>
      </w:pPr>
    </w:p>
    <w:p w14:paraId="6A32613E" w14:textId="4619A7AF" w:rsidR="00540DA0" w:rsidRDefault="00540DA0" w:rsidP="00B67489">
      <w:pPr>
        <w:pStyle w:val="MLAfinalreportText"/>
      </w:pPr>
    </w:p>
    <w:p w14:paraId="6142C9E0" w14:textId="072611D4" w:rsidR="002A0E2E" w:rsidRDefault="002A0E2E" w:rsidP="00B67489">
      <w:pPr>
        <w:pStyle w:val="MLAfinalreportText"/>
      </w:pPr>
    </w:p>
    <w:p w14:paraId="5A86983A" w14:textId="787B8737" w:rsidR="002A0E2E" w:rsidRDefault="002A0E2E" w:rsidP="00B67489">
      <w:pPr>
        <w:pStyle w:val="MLAfinalreportText"/>
      </w:pPr>
    </w:p>
    <w:p w14:paraId="35FF2E82" w14:textId="7FDCD532" w:rsidR="002A0E2E" w:rsidRDefault="002A0E2E" w:rsidP="00B67489">
      <w:pPr>
        <w:pStyle w:val="MLAfinalreportText"/>
      </w:pPr>
    </w:p>
    <w:p w14:paraId="55EBED14" w14:textId="2610770C" w:rsidR="002A0E2E" w:rsidRDefault="002A0E2E" w:rsidP="00B67489">
      <w:pPr>
        <w:pStyle w:val="MLAfinalreportText"/>
      </w:pPr>
    </w:p>
    <w:p w14:paraId="60B3BF8E" w14:textId="59DC27E3" w:rsidR="002A0E2E" w:rsidRDefault="002A0E2E" w:rsidP="00B67489">
      <w:pPr>
        <w:pStyle w:val="MLAfinalreportText"/>
      </w:pPr>
    </w:p>
    <w:p w14:paraId="6DF31105" w14:textId="67A615C8" w:rsidR="002A0E2E" w:rsidRDefault="002A0E2E" w:rsidP="00B67489">
      <w:pPr>
        <w:pStyle w:val="MLAfinalreportText"/>
      </w:pPr>
    </w:p>
    <w:p w14:paraId="699E8F24" w14:textId="77D184E1" w:rsidR="002A0E2E" w:rsidRDefault="002A0E2E" w:rsidP="00B67489">
      <w:pPr>
        <w:pStyle w:val="MLAfinalreportText"/>
      </w:pPr>
    </w:p>
    <w:p w14:paraId="3BE3A340" w14:textId="36127908" w:rsidR="002A0E2E" w:rsidRDefault="002A0E2E" w:rsidP="00B67489">
      <w:pPr>
        <w:pStyle w:val="MLAfinalreportText"/>
      </w:pPr>
    </w:p>
    <w:p w14:paraId="7DB9FB39" w14:textId="06DFB635" w:rsidR="002A0E2E" w:rsidRDefault="002A0E2E" w:rsidP="00B67489">
      <w:pPr>
        <w:pStyle w:val="MLAfinalreportText"/>
      </w:pPr>
    </w:p>
    <w:p w14:paraId="4F5DC607" w14:textId="6A079358" w:rsidR="002A0E2E" w:rsidRDefault="002A0E2E" w:rsidP="00B67489">
      <w:pPr>
        <w:pStyle w:val="MLAfinalreportText"/>
      </w:pPr>
    </w:p>
    <w:p w14:paraId="3FAC7980" w14:textId="5637A40C" w:rsidR="002A0E2E" w:rsidRDefault="002A0E2E" w:rsidP="00B67489">
      <w:pPr>
        <w:pStyle w:val="MLAfinalreportText"/>
      </w:pPr>
    </w:p>
    <w:p w14:paraId="2F9D44C4" w14:textId="42E095F9" w:rsidR="002A0E2E" w:rsidRDefault="002A0E2E" w:rsidP="00B67489">
      <w:pPr>
        <w:pStyle w:val="MLAfinalreportText"/>
      </w:pPr>
    </w:p>
    <w:p w14:paraId="3CE6447A" w14:textId="09688987" w:rsidR="002A0E2E" w:rsidRDefault="002A0E2E" w:rsidP="00B67489">
      <w:pPr>
        <w:pStyle w:val="MLAfinalreportText"/>
      </w:pPr>
    </w:p>
    <w:p w14:paraId="0A70AD74" w14:textId="522E0AD5" w:rsidR="002A0E2E" w:rsidRDefault="002A0E2E" w:rsidP="00B67489">
      <w:pPr>
        <w:pStyle w:val="MLAfinalreportText"/>
      </w:pPr>
    </w:p>
    <w:p w14:paraId="4B627CCC" w14:textId="19BAA46C" w:rsidR="002A0E2E" w:rsidRDefault="002A0E2E" w:rsidP="00B67489">
      <w:pPr>
        <w:pStyle w:val="MLAfinalreportText"/>
      </w:pPr>
    </w:p>
    <w:p w14:paraId="2842792F" w14:textId="56A22D54" w:rsidR="002A0E2E" w:rsidRDefault="002A0E2E" w:rsidP="00B67489">
      <w:pPr>
        <w:pStyle w:val="MLAfinalreportText"/>
      </w:pPr>
    </w:p>
    <w:p w14:paraId="26B1DC3D" w14:textId="316B45D0" w:rsidR="002A0E2E" w:rsidRDefault="002A0E2E" w:rsidP="00B67489">
      <w:pPr>
        <w:pStyle w:val="MLAfinalreportText"/>
      </w:pPr>
    </w:p>
    <w:p w14:paraId="43788936" w14:textId="65D0CBA4" w:rsidR="009A4C5A" w:rsidRPr="005553BF" w:rsidRDefault="009A4C5A" w:rsidP="008557E5">
      <w:pPr>
        <w:pStyle w:val="Heading1"/>
        <w:spacing w:after="240"/>
      </w:pPr>
      <w:bookmarkStart w:id="11" w:name="_Toc88494269"/>
      <w:r w:rsidRPr="005553BF">
        <w:lastRenderedPageBreak/>
        <w:t xml:space="preserve">Executive </w:t>
      </w:r>
      <w:bookmarkEnd w:id="1"/>
      <w:bookmarkEnd w:id="2"/>
      <w:bookmarkEnd w:id="3"/>
      <w:bookmarkEnd w:id="4"/>
      <w:bookmarkEnd w:id="5"/>
      <w:bookmarkEnd w:id="6"/>
      <w:bookmarkEnd w:id="7"/>
      <w:bookmarkEnd w:id="8"/>
      <w:bookmarkEnd w:id="9"/>
      <w:bookmarkEnd w:id="10"/>
      <w:r w:rsidR="004903E4" w:rsidRPr="005553BF">
        <w:t>summary</w:t>
      </w:r>
      <w:bookmarkEnd w:id="11"/>
    </w:p>
    <w:p w14:paraId="3C1CEC6D" w14:textId="0D8494B2" w:rsidR="009A4C5A" w:rsidRPr="005553BF" w:rsidRDefault="009A4C5A" w:rsidP="008557E5">
      <w:pPr>
        <w:spacing w:before="240"/>
        <w:rPr>
          <w:b/>
          <w:i/>
          <w:sz w:val="24"/>
        </w:rPr>
      </w:pPr>
      <w:bookmarkStart w:id="12" w:name="_Toc384863405"/>
      <w:bookmarkStart w:id="13" w:name="_Toc384918540"/>
      <w:bookmarkStart w:id="14" w:name="_Toc384918766"/>
      <w:bookmarkStart w:id="15" w:name="_Toc392153294"/>
      <w:bookmarkStart w:id="16" w:name="_Toc392153582"/>
      <w:r w:rsidRPr="005553BF">
        <w:rPr>
          <w:b/>
          <w:sz w:val="24"/>
        </w:rPr>
        <w:t>Background</w:t>
      </w:r>
      <w:bookmarkEnd w:id="12"/>
      <w:bookmarkEnd w:id="13"/>
      <w:bookmarkEnd w:id="14"/>
      <w:bookmarkEnd w:id="15"/>
      <w:bookmarkEnd w:id="16"/>
    </w:p>
    <w:p w14:paraId="0CFC58B1" w14:textId="6C32146C" w:rsidR="00DD6321" w:rsidRPr="00DD6321" w:rsidRDefault="00DD6321" w:rsidP="0062683A">
      <w:r w:rsidRPr="00DD6321">
        <w:t>The Australian red meat industry has set a target to be carbon neutral by 2030 (CN30). SustainCERT in collaboration with stakeholders and partners has been designing and developing a digitised pathway for red meat producers and other supply chain participants to credibly track and trade emissions reductions and other carbon benefits, thereby contributing to the CN30 target. SustainCERT’s digital platform is being developed for several industries where the demand for managing supply chain emissions has emerged from the growing number of corporates that have committed to climate targets under international agreements and initiatives (Net Zero, Carbon Neutral, Paris alignment of 1.5°). The product concept for the red meat supply chain will be tested through piloting with stakeholder partners in early 2022. It offers an alternative method to generating a carbon credit for producers and feed lotters by providing a practical solution route for Scope 3 emissions which cannot be offset via a carbon credit.</w:t>
      </w:r>
    </w:p>
    <w:p w14:paraId="42A85D09" w14:textId="77777777" w:rsidR="009B2F41" w:rsidRDefault="009B2F41" w:rsidP="009B2F41">
      <w:pPr>
        <w:keepNext/>
      </w:pPr>
      <w:r w:rsidRPr="00377D65">
        <w:rPr>
          <w:noProof/>
          <w:color w:val="2B579A"/>
          <w:shd w:val="clear" w:color="auto" w:fill="E6E6E6"/>
          <w:lang w:eastAsia="en-AU"/>
        </w:rPr>
        <w:drawing>
          <wp:inline distT="0" distB="0" distL="0" distR="0" wp14:anchorId="275EF73E" wp14:editId="30C6F495">
            <wp:extent cx="5680075" cy="2936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0075" cy="2936875"/>
                    </a:xfrm>
                    <a:prstGeom prst="rect">
                      <a:avLst/>
                    </a:prstGeom>
                    <a:noFill/>
                    <a:ln>
                      <a:noFill/>
                    </a:ln>
                  </pic:spPr>
                </pic:pic>
              </a:graphicData>
            </a:graphic>
          </wp:inline>
        </w:drawing>
      </w:r>
    </w:p>
    <w:p w14:paraId="3185EE7E" w14:textId="77777777" w:rsidR="00F52D29" w:rsidRDefault="00F52D29" w:rsidP="00F52D29">
      <w:pPr>
        <w:rPr>
          <w:rFonts w:cstheme="minorHAnsi"/>
        </w:rPr>
      </w:pPr>
      <w:r w:rsidRPr="00DD6321">
        <w:rPr>
          <w:rFonts w:cstheme="minorHAnsi"/>
        </w:rPr>
        <w:t xml:space="preserve">The output of this project is being used to finalise the digital module capabilities, refine functionality and deliver a digitised solution for tracking impacts such as an improved emission factor for a set volume of red meat through the supply chain. The digital platform will enable the owners of the intervention to be recognised and rewarded when a transaction takes place, in this case it will be producers of red meat, and lot feeders, processors and other participants in the supply chain who can contribute to lowering the emissions intensity of the finished red meat product. The transaction will be undertaken by a red meat wholesaler or retailer who is looking for a verified emission factor for their Scope 3 reporting claim, as part of their emissions reduction activities. The transaction recognises who in the supply chain invested in the intervention, to reduce emissions and the volume of red meat associated with a lower emission factor. On completion of the transaction, the volume of meat and that specific supply chain, where the emissions reduction took place is no longer available and no other buyer can purchase those same benefits. </w:t>
      </w:r>
    </w:p>
    <w:p w14:paraId="299E0782" w14:textId="77777777" w:rsidR="0062683A" w:rsidRDefault="0062683A">
      <w:pPr>
        <w:rPr>
          <w:b/>
          <w:sz w:val="24"/>
        </w:rPr>
      </w:pPr>
      <w:r>
        <w:rPr>
          <w:b/>
          <w:sz w:val="24"/>
        </w:rPr>
        <w:br w:type="page"/>
      </w:r>
    </w:p>
    <w:p w14:paraId="692D4A2B" w14:textId="609E07CC" w:rsidR="009A4C5A" w:rsidRPr="005553BF" w:rsidRDefault="004A1676" w:rsidP="005553BF">
      <w:pPr>
        <w:rPr>
          <w:b/>
          <w:i/>
          <w:sz w:val="24"/>
        </w:rPr>
      </w:pPr>
      <w:r>
        <w:rPr>
          <w:b/>
          <w:sz w:val="24"/>
        </w:rPr>
        <w:lastRenderedPageBreak/>
        <w:t>Objectives</w:t>
      </w:r>
    </w:p>
    <w:p w14:paraId="3438AAFC" w14:textId="77777777" w:rsidR="00DD6321" w:rsidRPr="00DD6321" w:rsidRDefault="00DD6321" w:rsidP="00DD6321">
      <w:r w:rsidRPr="00DD6321">
        <w:t>It was SustainCERT’s objective to establish the foundations for an industry wide, greenhouse gas emissions certification platform and develop the tools needed for the implementation to track and report on emissions through the red meat supply chain.</w:t>
      </w:r>
    </w:p>
    <w:p w14:paraId="1AD5B413" w14:textId="77777777" w:rsidR="00DD6321" w:rsidRPr="00DD6321" w:rsidRDefault="00DD6321" w:rsidP="00DD6321">
      <w:r w:rsidRPr="00DD6321">
        <w:t>The digital platform has been designed for broader implementation across several commodities and sectors and the ‘use’ case for red meat has been explicitly developed for this project. The piloting for the practical implementation and testing of transactional functionality of the red meat platform will be piloted in 2022 through a stakeholder led partnership program.</w:t>
      </w:r>
    </w:p>
    <w:p w14:paraId="6E4FF0D2" w14:textId="77777777" w:rsidR="004A1676" w:rsidRPr="001264AD" w:rsidRDefault="004A1676" w:rsidP="001264AD">
      <w:pPr>
        <w:rPr>
          <w:b/>
          <w:i/>
          <w:sz w:val="24"/>
        </w:rPr>
      </w:pPr>
      <w:bookmarkStart w:id="17" w:name="_Toc7515602"/>
      <w:r w:rsidRPr="001264AD">
        <w:rPr>
          <w:b/>
          <w:sz w:val="24"/>
        </w:rPr>
        <w:t>Methodology</w:t>
      </w:r>
      <w:bookmarkEnd w:id="17"/>
    </w:p>
    <w:p w14:paraId="4D9B7EBB" w14:textId="77777777" w:rsidR="00DD6321" w:rsidRPr="00DD6321" w:rsidRDefault="00DD6321" w:rsidP="0062683A">
      <w:r w:rsidRPr="00DD6321">
        <w:t>The SustainCERT team, as an important first step engaged with stakeholders, and conducted interviews with future users; producers and feed lotters, processors, technology providers and the corporate sector who are the buyers of red meat. A global desktop literature research project on consumer awareness and willingness to pay for ‘sustainable’ attributes was undertaken to test assumptions on consumers.</w:t>
      </w:r>
    </w:p>
    <w:p w14:paraId="6159B907" w14:textId="77777777" w:rsidR="00DD6321" w:rsidRPr="00DD6321" w:rsidRDefault="00DD6321" w:rsidP="0062683A">
      <w:r w:rsidRPr="00DD6321">
        <w:t>Corporates with sustainability targets and Scope 3 reporting obligations have been engaged to ascertain the level of demand. The consultation included the identification of reporting requirements under various programs such as the Science Based Target initiative, Eco-Scoring, net zero and carbon neutral programs to help guide the approach for developing the outputs of a digital platform solution.</w:t>
      </w:r>
    </w:p>
    <w:p w14:paraId="4A1C2D5D" w14:textId="77777777" w:rsidR="00DD6321" w:rsidRPr="00DD6321" w:rsidRDefault="00DD6321" w:rsidP="0062683A">
      <w:r w:rsidRPr="00DD6321">
        <w:t xml:space="preserve">A review and assessment of the suite of the available tools, methods and standards informed the team what would need to be included into the platform to ensure all of the activities and interventions were accessible for users. Greenhouse Gas Protocol rules and guidance documents were incorporated into the product concept to ensure compliance with the protocol. </w:t>
      </w:r>
    </w:p>
    <w:p w14:paraId="3605313C" w14:textId="77777777" w:rsidR="00DD6321" w:rsidRPr="00DD6321" w:rsidRDefault="00DD6321" w:rsidP="0062683A">
      <w:r w:rsidRPr="00DD6321">
        <w:t xml:space="preserve">SustainCERT developed the framework of a digital platform for tracking impacts from the owner of an intervention through to the buyer of the benefits of that intervention, to address Scope 3 reporting and double counting issues. The use case specific to the red meat supply chain was developed using the product concept and the digital framework and overlaying it with the complex components of the red meat supply chain and where and how the emission factor of red meat is impacted from each step. This enabled the development team to insert data outputs from an intervention test case, from an existing method for reducing enteric methane emissions to demonstrate how an improved emission factor would be tracked and accounted for. </w:t>
      </w:r>
    </w:p>
    <w:p w14:paraId="51B79D6A" w14:textId="77777777" w:rsidR="00DD6321" w:rsidRPr="00DD6321" w:rsidRDefault="00DD6321" w:rsidP="0062683A">
      <w:pPr>
        <w:rPr>
          <w:sz w:val="24"/>
          <w:szCs w:val="24"/>
        </w:rPr>
      </w:pPr>
      <w:r w:rsidRPr="00DD6321">
        <w:t>The method that SustainCERT used to develop the idea, concept and framework of a digital monitoring, reporting and verification process as well as the tool to track emission factors and other carbon benefits through the supply chain is the first of its kind. It is expected, through the process of pilots and trials for the SustainCERT digital platform to be refined and be a practical tool that provides an efficient and effective pathway to track low emissions product through the value chain and ensure that participants who are investing in the activities to reduce emissions are recognised.</w:t>
      </w:r>
    </w:p>
    <w:p w14:paraId="5DC41545" w14:textId="77777777" w:rsidR="004A1676" w:rsidRPr="001264AD" w:rsidRDefault="004A1676" w:rsidP="001264AD">
      <w:pPr>
        <w:rPr>
          <w:b/>
          <w:i/>
          <w:sz w:val="24"/>
        </w:rPr>
      </w:pPr>
      <w:bookmarkStart w:id="18" w:name="_Toc384863408"/>
      <w:bookmarkStart w:id="19" w:name="_Toc384918543"/>
      <w:bookmarkStart w:id="20" w:name="_Toc384918769"/>
      <w:bookmarkStart w:id="21" w:name="_Toc392153297"/>
      <w:bookmarkStart w:id="22" w:name="_Toc392153585"/>
      <w:bookmarkStart w:id="23" w:name="_Toc7515603"/>
      <w:bookmarkStart w:id="24" w:name="_Toc384863410"/>
      <w:bookmarkStart w:id="25" w:name="_Toc384918545"/>
      <w:bookmarkStart w:id="26" w:name="_Toc384918771"/>
      <w:bookmarkStart w:id="27" w:name="_Toc392153299"/>
      <w:bookmarkStart w:id="28" w:name="_Toc392153587"/>
      <w:bookmarkStart w:id="29" w:name="_Toc7515604"/>
      <w:r w:rsidRPr="001264AD">
        <w:rPr>
          <w:b/>
          <w:sz w:val="24"/>
        </w:rPr>
        <w:t>Results/key findings</w:t>
      </w:r>
      <w:bookmarkEnd w:id="18"/>
      <w:bookmarkEnd w:id="19"/>
      <w:bookmarkEnd w:id="20"/>
      <w:bookmarkEnd w:id="21"/>
      <w:bookmarkEnd w:id="22"/>
      <w:bookmarkEnd w:id="23"/>
    </w:p>
    <w:p w14:paraId="7391C313" w14:textId="7475D84A" w:rsidR="00DD6321" w:rsidRDefault="00DD6321" w:rsidP="00DD6321">
      <w:r>
        <w:t xml:space="preserve">SustainCERT has </w:t>
      </w:r>
      <w:r w:rsidR="00365B6B">
        <w:t xml:space="preserve">enabled the industry </w:t>
      </w:r>
      <w:r w:rsidR="000E6310">
        <w:t>to maximise reductions of greenhouse gas emissions from the production of red meat and source removals from within the supply chain</w:t>
      </w:r>
      <w:r w:rsidR="00365B6B">
        <w:t xml:space="preserve"> through </w:t>
      </w:r>
      <w:r>
        <w:t xml:space="preserve">a digitised pathway to track impacts within the supply chain from producers to buyers. SustainCERT’s results were based on:  </w:t>
      </w:r>
    </w:p>
    <w:p w14:paraId="39F597D4" w14:textId="77777777" w:rsidR="00DD6321" w:rsidRDefault="00DD6321" w:rsidP="00DD6321">
      <w:r>
        <w:lastRenderedPageBreak/>
        <w:t>1. Adherence to the Greenhouse Gas protocol rules and guidance</w:t>
      </w:r>
    </w:p>
    <w:p w14:paraId="1DCE7776" w14:textId="77777777" w:rsidR="00DD6321" w:rsidRDefault="00DD6321" w:rsidP="00DD6321">
      <w:r>
        <w:t xml:space="preserve">2. Taking innovative approaches to double counting and discovering, through collaboration, solutions to ensure carbon benefits generated within the red meat supply chain can be attributed to the red meat industry, and </w:t>
      </w:r>
    </w:p>
    <w:p w14:paraId="14C99C5F" w14:textId="77777777" w:rsidR="00DD6321" w:rsidRDefault="00DD6321" w:rsidP="00DD6321">
      <w:r>
        <w:t>3. To ensure that corporates (buyers) drive the demand and pay for the access to low carbon products with an associated certified claim, and enable that transaction to produce a report for their own supply chain emissions (Scope 3).</w:t>
      </w:r>
    </w:p>
    <w:p w14:paraId="1580AC53" w14:textId="77777777" w:rsidR="00DD6321" w:rsidRDefault="00DD6321" w:rsidP="00DD6321">
      <w:r>
        <w:t xml:space="preserve">SustainCERT has partnered with Science Based Target stakeholders and other global stakeholders and has been instrumental in the development of value chain guidance programs and pilots for sectors willing to lead the corporate reporting agenda for greenhouse gas emissions. </w:t>
      </w:r>
    </w:p>
    <w:p w14:paraId="045FAE65" w14:textId="77777777" w:rsidR="00DD6321" w:rsidRDefault="00DD6321" w:rsidP="00DD6321">
      <w:r>
        <w:t xml:space="preserve">With Australian red meat industry stakeholders, SustainCERT has built a ‘use’ case for beef to test a digital platform for tracking impact through the red meat supply chain to allow buyers to procure improved emission factor attributes coupled to a volume of beef from within the same supply chain. The platform also tracks the attribute (an improved emission factor) to the ‘owner’ of the activity or intervention to ensure that the owner is recognised and rewarded a ‘value’ of the outcome. </w:t>
      </w:r>
    </w:p>
    <w:p w14:paraId="5B860648" w14:textId="4ABB5E20" w:rsidR="004A1676" w:rsidRDefault="00DD6321" w:rsidP="00DD6321">
      <w:pPr>
        <w:rPr>
          <w:b/>
          <w:sz w:val="24"/>
        </w:rPr>
      </w:pPr>
      <w:r>
        <w:t xml:space="preserve">In addition to and in support of a supply chain tracking mechanism, SustainCERT has been developing and testing an integrated monitoring, reporting and verification module for their end-to-end digital solution. This digitised process is applicable for carbon projects and is an important part of the transition to a more efficient and cost-effective system for generating carbon offsets. It will enable data to be streamed from carbon project management monitoring devices directly to SustainCERT digital platform. </w:t>
      </w:r>
    </w:p>
    <w:bookmarkEnd w:id="24"/>
    <w:bookmarkEnd w:id="25"/>
    <w:bookmarkEnd w:id="26"/>
    <w:bookmarkEnd w:id="27"/>
    <w:bookmarkEnd w:id="28"/>
    <w:bookmarkEnd w:id="29"/>
    <w:p w14:paraId="66D18670" w14:textId="51051EA4" w:rsidR="008557E5" w:rsidRDefault="008557E5" w:rsidP="001264AD">
      <w:pPr>
        <w:rPr>
          <w:b/>
          <w:sz w:val="24"/>
        </w:rPr>
      </w:pPr>
      <w:r>
        <w:rPr>
          <w:b/>
          <w:sz w:val="24"/>
        </w:rPr>
        <w:t>Benefits to industry</w:t>
      </w:r>
    </w:p>
    <w:p w14:paraId="196331B6" w14:textId="77777777" w:rsidR="00383300" w:rsidRPr="00383300" w:rsidRDefault="00383300" w:rsidP="00383300">
      <w:r w:rsidRPr="00383300">
        <w:t xml:space="preserve">Digitised farm management tools are available, and this program is expected to increase adoption of those tools, which will lead to improved industry data management and carbon accounting capacity. </w:t>
      </w:r>
    </w:p>
    <w:p w14:paraId="0D76DC07" w14:textId="522D0587" w:rsidR="00383300" w:rsidRPr="00383300" w:rsidRDefault="00383300" w:rsidP="00383300">
      <w:r w:rsidRPr="00383300">
        <w:t xml:space="preserve">Producers, lot feeders and processors will be further motivated to invest in technology and participate in the low carbon red meat economy, with an alternative pathway to </w:t>
      </w:r>
      <w:r w:rsidR="002D010F">
        <w:t>capturing value from</w:t>
      </w:r>
      <w:r w:rsidRPr="00383300">
        <w:t xml:space="preserve"> </w:t>
      </w:r>
      <w:r w:rsidR="002D010F">
        <w:t xml:space="preserve">the </w:t>
      </w:r>
      <w:r w:rsidRPr="00383300">
        <w:t>carbon credits</w:t>
      </w:r>
      <w:r w:rsidR="002D010F">
        <w:t xml:space="preserve"> they produce</w:t>
      </w:r>
      <w:r w:rsidRPr="00383300">
        <w:t xml:space="preserve">. </w:t>
      </w:r>
    </w:p>
    <w:p w14:paraId="23E3A1E8" w14:textId="77777777" w:rsidR="00383300" w:rsidRPr="00383300" w:rsidRDefault="00383300" w:rsidP="00383300">
      <w:r w:rsidRPr="00383300">
        <w:t>The SustainCERT platform and digitised process will allow producers and processors of red meat to directly engage with buyers to determine and understand their needs for lowering supply chain emissions and leverage that improved market knowledge.</w:t>
      </w:r>
    </w:p>
    <w:p w14:paraId="6EC6FEF2" w14:textId="77777777" w:rsidR="00383300" w:rsidRPr="00383300" w:rsidRDefault="00383300" w:rsidP="00383300">
      <w:r w:rsidRPr="00383300">
        <w:t>The demand from corporates and companies seeking solutions to supply chain emissions (Scope 3) delivers a new value proposition, distinctly different to the existing carbon project cycle.</w:t>
      </w:r>
    </w:p>
    <w:p w14:paraId="4C754FF8" w14:textId="2B15E48D" w:rsidR="008557E5" w:rsidRPr="00383300" w:rsidRDefault="00383300" w:rsidP="00383300">
      <w:pPr>
        <w:rPr>
          <w:sz w:val="24"/>
        </w:rPr>
      </w:pPr>
      <w:r w:rsidRPr="00383300">
        <w:t xml:space="preserve">The benefits to the broader industry include a structural change to the way emissions reduction claims are made and effort is recognised.  Through this innovation, SustainCERT can provide an alternative pathway to generating carbon credits and this is a verified emission factor of red meat as the result of an intervention. </w:t>
      </w:r>
    </w:p>
    <w:p w14:paraId="48B6DDE3" w14:textId="40ED3330" w:rsidR="004A1676" w:rsidRPr="001264AD" w:rsidRDefault="004A1676" w:rsidP="001264AD">
      <w:pPr>
        <w:rPr>
          <w:b/>
          <w:i/>
          <w:sz w:val="24"/>
        </w:rPr>
      </w:pPr>
      <w:r w:rsidRPr="001264AD">
        <w:rPr>
          <w:b/>
          <w:sz w:val="24"/>
        </w:rPr>
        <w:t>Future research and recommendations</w:t>
      </w:r>
    </w:p>
    <w:p w14:paraId="0C97C200" w14:textId="2607E666" w:rsidR="00383300" w:rsidRDefault="00383300" w:rsidP="00383300">
      <w:r>
        <w:t>There are implementation challenges and SustainCERT aim to discover solutions to those through a stakeholder led partnership program to pilot the beef supply chain use</w:t>
      </w:r>
      <w:r w:rsidR="00706D06">
        <w:t xml:space="preserve"> </w:t>
      </w:r>
      <w:r>
        <w:t xml:space="preserve">case on the SustainCERT Platform in 2022. </w:t>
      </w:r>
    </w:p>
    <w:bookmarkStart w:id="30" w:name="_GoBack" w:displacedByCustomXml="next"/>
    <w:bookmarkEnd w:id="30" w:displacedByCustomXml="next"/>
    <w:sdt>
      <w:sdtPr>
        <w:rPr>
          <w:rFonts w:asciiTheme="minorHAnsi" w:hAnsiTheme="minorHAnsi" w:cs="Arial"/>
        </w:rPr>
        <w:id w:val="-246187906"/>
        <w:lock w:val="contentLocked"/>
        <w:placeholder>
          <w:docPart w:val="4192BF1F652541FE877036D1BB6D398C"/>
        </w:placeholder>
        <w:group/>
      </w:sdtPr>
      <w:sdtContent>
        <w:p w14:paraId="37C10B43" w14:textId="1AF1AFFA" w:rsidR="00F60C84" w:rsidRPr="00D630D9" w:rsidRDefault="00F60C84" w:rsidP="002D68E5">
          <w:pPr>
            <w:pStyle w:val="MLAHeading"/>
            <w:jc w:val="center"/>
            <w:rPr>
              <w:rFonts w:asciiTheme="minorHAnsi" w:hAnsiTheme="minorHAnsi" w:cs="Arial"/>
            </w:rPr>
          </w:pPr>
          <w:r>
            <w:rPr>
              <w:rFonts w:asciiTheme="minorHAnsi" w:hAnsiTheme="minorHAnsi" w:cs="Arial"/>
            </w:rPr>
            <w:t>Table of c</w:t>
          </w:r>
          <w:r w:rsidRPr="00D630D9">
            <w:rPr>
              <w:rFonts w:asciiTheme="minorHAnsi" w:hAnsiTheme="minorHAnsi" w:cs="Arial"/>
            </w:rPr>
            <w:t>ontents</w:t>
          </w:r>
        </w:p>
      </w:sdtContent>
    </w:sdt>
    <w:p w14:paraId="2A29AEE0" w14:textId="423299C3" w:rsidR="00B67489" w:rsidRPr="00B67489" w:rsidRDefault="00F60C84">
      <w:pPr>
        <w:pStyle w:val="TOC1"/>
        <w:rPr>
          <w:rFonts w:eastAsiaTheme="minorEastAsia" w:cstheme="minorBidi"/>
          <w:b w:val="0"/>
          <w:sz w:val="24"/>
          <w:szCs w:val="24"/>
          <w:lang w:eastAsia="en-AU"/>
        </w:rPr>
      </w:pPr>
      <w:r w:rsidRPr="00B67489">
        <w:rPr>
          <w:b w:val="0"/>
          <w:sz w:val="24"/>
          <w:szCs w:val="24"/>
        </w:rPr>
        <w:fldChar w:fldCharType="begin"/>
      </w:r>
      <w:r w:rsidRPr="00B67489">
        <w:rPr>
          <w:b w:val="0"/>
          <w:sz w:val="24"/>
          <w:szCs w:val="24"/>
        </w:rPr>
        <w:instrText xml:space="preserve"> TOC \o \h \z \t "subhead1,2" </w:instrText>
      </w:r>
      <w:r w:rsidRPr="00B67489">
        <w:rPr>
          <w:b w:val="0"/>
          <w:sz w:val="24"/>
          <w:szCs w:val="24"/>
        </w:rPr>
        <w:fldChar w:fldCharType="separate"/>
      </w:r>
      <w:hyperlink w:anchor="_Toc88494268" w:history="1">
        <w:r w:rsidR="00B67489" w:rsidRPr="00B67489">
          <w:rPr>
            <w:rStyle w:val="Hyperlink"/>
            <w:b w:val="0"/>
            <w:sz w:val="24"/>
            <w:szCs w:val="24"/>
          </w:rPr>
          <w:t>Abstract</w:t>
        </w:r>
        <w:r w:rsidR="00B67489" w:rsidRPr="00B67489">
          <w:rPr>
            <w:b w:val="0"/>
            <w:webHidden/>
            <w:sz w:val="24"/>
            <w:szCs w:val="24"/>
          </w:rPr>
          <w:tab/>
        </w:r>
        <w:r w:rsidR="00B67489" w:rsidRPr="00B67489">
          <w:rPr>
            <w:b w:val="0"/>
            <w:webHidden/>
            <w:sz w:val="24"/>
            <w:szCs w:val="24"/>
          </w:rPr>
          <w:fldChar w:fldCharType="begin"/>
        </w:r>
        <w:r w:rsidR="00B67489" w:rsidRPr="00B67489">
          <w:rPr>
            <w:b w:val="0"/>
            <w:webHidden/>
            <w:sz w:val="24"/>
            <w:szCs w:val="24"/>
          </w:rPr>
          <w:instrText xml:space="preserve"> PAGEREF _Toc88494268 \h </w:instrText>
        </w:r>
        <w:r w:rsidR="00B67489" w:rsidRPr="00B67489">
          <w:rPr>
            <w:b w:val="0"/>
            <w:webHidden/>
            <w:sz w:val="24"/>
            <w:szCs w:val="24"/>
          </w:rPr>
        </w:r>
        <w:r w:rsidR="00B67489" w:rsidRPr="00B67489">
          <w:rPr>
            <w:b w:val="0"/>
            <w:webHidden/>
            <w:sz w:val="24"/>
            <w:szCs w:val="24"/>
          </w:rPr>
          <w:fldChar w:fldCharType="separate"/>
        </w:r>
        <w:r w:rsidR="00B67489" w:rsidRPr="00B67489">
          <w:rPr>
            <w:b w:val="0"/>
            <w:webHidden/>
            <w:sz w:val="24"/>
            <w:szCs w:val="24"/>
          </w:rPr>
          <w:t>2</w:t>
        </w:r>
        <w:r w:rsidR="00B67489" w:rsidRPr="00B67489">
          <w:rPr>
            <w:b w:val="0"/>
            <w:webHidden/>
            <w:sz w:val="24"/>
            <w:szCs w:val="24"/>
          </w:rPr>
          <w:fldChar w:fldCharType="end"/>
        </w:r>
      </w:hyperlink>
    </w:p>
    <w:p w14:paraId="1C268B0A" w14:textId="072F6E19" w:rsidR="00B67489" w:rsidRPr="00B67489" w:rsidRDefault="00B67489">
      <w:pPr>
        <w:pStyle w:val="TOC1"/>
        <w:rPr>
          <w:rFonts w:eastAsiaTheme="minorEastAsia" w:cstheme="minorBidi"/>
          <w:b w:val="0"/>
          <w:sz w:val="24"/>
          <w:szCs w:val="24"/>
          <w:lang w:eastAsia="en-AU"/>
        </w:rPr>
      </w:pPr>
      <w:hyperlink w:anchor="_Toc88494269" w:history="1">
        <w:r w:rsidRPr="00B67489">
          <w:rPr>
            <w:rStyle w:val="Hyperlink"/>
            <w:b w:val="0"/>
            <w:sz w:val="24"/>
            <w:szCs w:val="24"/>
          </w:rPr>
          <w:t>Executive summary</w:t>
        </w:r>
        <w:r w:rsidRPr="00B67489">
          <w:rPr>
            <w:b w:val="0"/>
            <w:webHidden/>
            <w:sz w:val="24"/>
            <w:szCs w:val="24"/>
          </w:rPr>
          <w:tab/>
        </w:r>
        <w:r w:rsidRPr="00B67489">
          <w:rPr>
            <w:b w:val="0"/>
            <w:webHidden/>
            <w:sz w:val="24"/>
            <w:szCs w:val="24"/>
          </w:rPr>
          <w:fldChar w:fldCharType="begin"/>
        </w:r>
        <w:r w:rsidRPr="00B67489">
          <w:rPr>
            <w:b w:val="0"/>
            <w:webHidden/>
            <w:sz w:val="24"/>
            <w:szCs w:val="24"/>
          </w:rPr>
          <w:instrText xml:space="preserve"> PAGEREF _Toc88494269 \h </w:instrText>
        </w:r>
        <w:r w:rsidRPr="00B67489">
          <w:rPr>
            <w:b w:val="0"/>
            <w:webHidden/>
            <w:sz w:val="24"/>
            <w:szCs w:val="24"/>
          </w:rPr>
        </w:r>
        <w:r w:rsidRPr="00B67489">
          <w:rPr>
            <w:b w:val="0"/>
            <w:webHidden/>
            <w:sz w:val="24"/>
            <w:szCs w:val="24"/>
          </w:rPr>
          <w:fldChar w:fldCharType="separate"/>
        </w:r>
        <w:r w:rsidRPr="00B67489">
          <w:rPr>
            <w:b w:val="0"/>
            <w:webHidden/>
            <w:sz w:val="24"/>
            <w:szCs w:val="24"/>
          </w:rPr>
          <w:t>3</w:t>
        </w:r>
        <w:r w:rsidRPr="00B67489">
          <w:rPr>
            <w:b w:val="0"/>
            <w:webHidden/>
            <w:sz w:val="24"/>
            <w:szCs w:val="24"/>
          </w:rPr>
          <w:fldChar w:fldCharType="end"/>
        </w:r>
      </w:hyperlink>
    </w:p>
    <w:p w14:paraId="0DB0B2F0" w14:textId="5F42EE98" w:rsidR="00B67489" w:rsidRPr="00B67489" w:rsidRDefault="00B67489">
      <w:pPr>
        <w:pStyle w:val="TOC1"/>
        <w:rPr>
          <w:rFonts w:eastAsiaTheme="minorEastAsia" w:cstheme="minorBidi"/>
          <w:b w:val="0"/>
          <w:sz w:val="24"/>
          <w:szCs w:val="24"/>
          <w:lang w:eastAsia="en-AU"/>
        </w:rPr>
      </w:pPr>
      <w:hyperlink w:anchor="_Toc88494270" w:history="1">
        <w:r w:rsidRPr="00B67489">
          <w:rPr>
            <w:rStyle w:val="Hyperlink"/>
            <w:rFonts w:cstheme="minorHAnsi"/>
            <w:b w:val="0"/>
            <w:sz w:val="24"/>
            <w:szCs w:val="24"/>
          </w:rPr>
          <w:t>1.</w:t>
        </w:r>
        <w:r w:rsidRPr="00B67489">
          <w:rPr>
            <w:rFonts w:eastAsiaTheme="minorEastAsia" w:cstheme="minorBidi"/>
            <w:b w:val="0"/>
            <w:sz w:val="24"/>
            <w:szCs w:val="24"/>
            <w:lang w:eastAsia="en-AU"/>
          </w:rPr>
          <w:tab/>
        </w:r>
        <w:r w:rsidRPr="00B67489">
          <w:rPr>
            <w:rStyle w:val="Hyperlink"/>
            <w:rFonts w:cstheme="minorHAnsi"/>
            <w:b w:val="0"/>
            <w:sz w:val="24"/>
            <w:szCs w:val="24"/>
          </w:rPr>
          <w:t>Background</w:t>
        </w:r>
        <w:r w:rsidRPr="00B67489">
          <w:rPr>
            <w:b w:val="0"/>
            <w:webHidden/>
            <w:sz w:val="24"/>
            <w:szCs w:val="24"/>
          </w:rPr>
          <w:tab/>
        </w:r>
        <w:r w:rsidRPr="00B67489">
          <w:rPr>
            <w:b w:val="0"/>
            <w:webHidden/>
            <w:sz w:val="24"/>
            <w:szCs w:val="24"/>
          </w:rPr>
          <w:fldChar w:fldCharType="begin"/>
        </w:r>
        <w:r w:rsidRPr="00B67489">
          <w:rPr>
            <w:b w:val="0"/>
            <w:webHidden/>
            <w:sz w:val="24"/>
            <w:szCs w:val="24"/>
          </w:rPr>
          <w:instrText xml:space="preserve"> PAGEREF _Toc88494270 \h </w:instrText>
        </w:r>
        <w:r w:rsidRPr="00B67489">
          <w:rPr>
            <w:b w:val="0"/>
            <w:webHidden/>
            <w:sz w:val="24"/>
            <w:szCs w:val="24"/>
          </w:rPr>
        </w:r>
        <w:r w:rsidRPr="00B67489">
          <w:rPr>
            <w:b w:val="0"/>
            <w:webHidden/>
            <w:sz w:val="24"/>
            <w:szCs w:val="24"/>
          </w:rPr>
          <w:fldChar w:fldCharType="separate"/>
        </w:r>
        <w:r w:rsidRPr="00B67489">
          <w:rPr>
            <w:b w:val="0"/>
            <w:webHidden/>
            <w:sz w:val="24"/>
            <w:szCs w:val="24"/>
          </w:rPr>
          <w:t>8</w:t>
        </w:r>
        <w:r w:rsidRPr="00B67489">
          <w:rPr>
            <w:b w:val="0"/>
            <w:webHidden/>
            <w:sz w:val="24"/>
            <w:szCs w:val="24"/>
          </w:rPr>
          <w:fldChar w:fldCharType="end"/>
        </w:r>
      </w:hyperlink>
    </w:p>
    <w:p w14:paraId="4ECD4C6C" w14:textId="5FA97C87" w:rsidR="00B67489" w:rsidRPr="00B67489" w:rsidRDefault="00B67489">
      <w:pPr>
        <w:pStyle w:val="TOC2"/>
        <w:rPr>
          <w:rFonts w:eastAsiaTheme="minorEastAsia" w:cstheme="minorBidi"/>
          <w:b w:val="0"/>
          <w:sz w:val="24"/>
          <w:szCs w:val="24"/>
          <w:lang w:eastAsia="en-AU"/>
        </w:rPr>
      </w:pPr>
      <w:hyperlink w:anchor="_Toc88494271" w:history="1">
        <w:r w:rsidRPr="00B67489">
          <w:rPr>
            <w:rStyle w:val="Hyperlink"/>
            <w:b w:val="0"/>
            <w:sz w:val="24"/>
            <w:szCs w:val="24"/>
          </w:rPr>
          <w:t>1.1</w:t>
        </w:r>
        <w:r w:rsidRPr="00B67489">
          <w:rPr>
            <w:rFonts w:eastAsiaTheme="minorEastAsia" w:cstheme="minorBidi"/>
            <w:b w:val="0"/>
            <w:sz w:val="24"/>
            <w:szCs w:val="24"/>
            <w:lang w:eastAsia="en-AU"/>
          </w:rPr>
          <w:tab/>
        </w:r>
        <w:r w:rsidRPr="00B67489">
          <w:rPr>
            <w:rStyle w:val="Hyperlink"/>
            <w:b w:val="0"/>
            <w:sz w:val="24"/>
            <w:szCs w:val="24"/>
          </w:rPr>
          <w:t>Project alignment with the industry roadmap</w:t>
        </w:r>
        <w:r w:rsidRPr="00B67489">
          <w:rPr>
            <w:b w:val="0"/>
            <w:webHidden/>
            <w:sz w:val="24"/>
            <w:szCs w:val="24"/>
          </w:rPr>
          <w:tab/>
        </w:r>
        <w:r w:rsidRPr="00B67489">
          <w:rPr>
            <w:b w:val="0"/>
            <w:webHidden/>
            <w:sz w:val="24"/>
            <w:szCs w:val="24"/>
          </w:rPr>
          <w:fldChar w:fldCharType="begin"/>
        </w:r>
        <w:r w:rsidRPr="00B67489">
          <w:rPr>
            <w:b w:val="0"/>
            <w:webHidden/>
            <w:sz w:val="24"/>
            <w:szCs w:val="24"/>
          </w:rPr>
          <w:instrText xml:space="preserve"> PAGEREF _Toc88494271 \h </w:instrText>
        </w:r>
        <w:r w:rsidRPr="00B67489">
          <w:rPr>
            <w:b w:val="0"/>
            <w:webHidden/>
            <w:sz w:val="24"/>
            <w:szCs w:val="24"/>
          </w:rPr>
        </w:r>
        <w:r w:rsidRPr="00B67489">
          <w:rPr>
            <w:b w:val="0"/>
            <w:webHidden/>
            <w:sz w:val="24"/>
            <w:szCs w:val="24"/>
          </w:rPr>
          <w:fldChar w:fldCharType="separate"/>
        </w:r>
        <w:r w:rsidRPr="00B67489">
          <w:rPr>
            <w:b w:val="0"/>
            <w:webHidden/>
            <w:sz w:val="24"/>
            <w:szCs w:val="24"/>
          </w:rPr>
          <w:t>8</w:t>
        </w:r>
        <w:r w:rsidRPr="00B67489">
          <w:rPr>
            <w:b w:val="0"/>
            <w:webHidden/>
            <w:sz w:val="24"/>
            <w:szCs w:val="24"/>
          </w:rPr>
          <w:fldChar w:fldCharType="end"/>
        </w:r>
      </w:hyperlink>
    </w:p>
    <w:p w14:paraId="34F99DA8" w14:textId="622D7AE8" w:rsidR="00B67489" w:rsidRPr="00B67489" w:rsidRDefault="00B67489">
      <w:pPr>
        <w:pStyle w:val="TOC1"/>
        <w:rPr>
          <w:rFonts w:eastAsiaTheme="minorEastAsia" w:cstheme="minorBidi"/>
          <w:b w:val="0"/>
          <w:sz w:val="24"/>
          <w:szCs w:val="24"/>
          <w:lang w:eastAsia="en-AU"/>
        </w:rPr>
      </w:pPr>
      <w:hyperlink w:anchor="_Toc88494272" w:history="1">
        <w:r w:rsidRPr="00B67489">
          <w:rPr>
            <w:rStyle w:val="Hyperlink"/>
            <w:rFonts w:cstheme="minorHAnsi"/>
            <w:b w:val="0"/>
            <w:sz w:val="24"/>
            <w:szCs w:val="24"/>
          </w:rPr>
          <w:t>2.</w:t>
        </w:r>
        <w:r w:rsidRPr="00B67489">
          <w:rPr>
            <w:rFonts w:eastAsiaTheme="minorEastAsia" w:cstheme="minorBidi"/>
            <w:b w:val="0"/>
            <w:sz w:val="24"/>
            <w:szCs w:val="24"/>
            <w:lang w:eastAsia="en-AU"/>
          </w:rPr>
          <w:tab/>
        </w:r>
        <w:r w:rsidRPr="00B67489">
          <w:rPr>
            <w:rStyle w:val="Hyperlink"/>
            <w:rFonts w:cstheme="minorHAnsi"/>
            <w:b w:val="0"/>
            <w:sz w:val="24"/>
            <w:szCs w:val="24"/>
          </w:rPr>
          <w:t>Objectives</w:t>
        </w:r>
        <w:r w:rsidRPr="00B67489">
          <w:rPr>
            <w:b w:val="0"/>
            <w:webHidden/>
            <w:sz w:val="24"/>
            <w:szCs w:val="24"/>
          </w:rPr>
          <w:tab/>
        </w:r>
        <w:r w:rsidRPr="00B67489">
          <w:rPr>
            <w:b w:val="0"/>
            <w:webHidden/>
            <w:sz w:val="24"/>
            <w:szCs w:val="24"/>
          </w:rPr>
          <w:fldChar w:fldCharType="begin"/>
        </w:r>
        <w:r w:rsidRPr="00B67489">
          <w:rPr>
            <w:b w:val="0"/>
            <w:webHidden/>
            <w:sz w:val="24"/>
            <w:szCs w:val="24"/>
          </w:rPr>
          <w:instrText xml:space="preserve"> PAGEREF _Toc88494272 \h </w:instrText>
        </w:r>
        <w:r w:rsidRPr="00B67489">
          <w:rPr>
            <w:b w:val="0"/>
            <w:webHidden/>
            <w:sz w:val="24"/>
            <w:szCs w:val="24"/>
          </w:rPr>
        </w:r>
        <w:r w:rsidRPr="00B67489">
          <w:rPr>
            <w:b w:val="0"/>
            <w:webHidden/>
            <w:sz w:val="24"/>
            <w:szCs w:val="24"/>
          </w:rPr>
          <w:fldChar w:fldCharType="separate"/>
        </w:r>
        <w:r w:rsidRPr="00B67489">
          <w:rPr>
            <w:b w:val="0"/>
            <w:webHidden/>
            <w:sz w:val="24"/>
            <w:szCs w:val="24"/>
          </w:rPr>
          <w:t>9</w:t>
        </w:r>
        <w:r w:rsidRPr="00B67489">
          <w:rPr>
            <w:b w:val="0"/>
            <w:webHidden/>
            <w:sz w:val="24"/>
            <w:szCs w:val="24"/>
          </w:rPr>
          <w:fldChar w:fldCharType="end"/>
        </w:r>
      </w:hyperlink>
    </w:p>
    <w:p w14:paraId="67220860" w14:textId="3FFFBCD1" w:rsidR="00B67489" w:rsidRPr="00B67489" w:rsidRDefault="00B67489">
      <w:pPr>
        <w:pStyle w:val="TOC1"/>
        <w:rPr>
          <w:rFonts w:eastAsiaTheme="minorEastAsia" w:cstheme="minorBidi"/>
          <w:b w:val="0"/>
          <w:sz w:val="24"/>
          <w:szCs w:val="24"/>
          <w:lang w:eastAsia="en-AU"/>
        </w:rPr>
      </w:pPr>
      <w:hyperlink w:anchor="_Toc88494273" w:history="1">
        <w:r w:rsidRPr="00B67489">
          <w:rPr>
            <w:rStyle w:val="Hyperlink"/>
            <w:b w:val="0"/>
            <w:sz w:val="24"/>
            <w:szCs w:val="24"/>
          </w:rPr>
          <w:t>3.</w:t>
        </w:r>
        <w:r w:rsidRPr="00B67489">
          <w:rPr>
            <w:rFonts w:eastAsiaTheme="minorEastAsia" w:cstheme="minorBidi"/>
            <w:b w:val="0"/>
            <w:sz w:val="24"/>
            <w:szCs w:val="24"/>
            <w:lang w:eastAsia="en-AU"/>
          </w:rPr>
          <w:tab/>
        </w:r>
        <w:r w:rsidRPr="00B67489">
          <w:rPr>
            <w:rStyle w:val="Hyperlink"/>
            <w:b w:val="0"/>
            <w:sz w:val="24"/>
            <w:szCs w:val="24"/>
          </w:rPr>
          <w:t>Methodology</w:t>
        </w:r>
        <w:r w:rsidRPr="00B67489">
          <w:rPr>
            <w:b w:val="0"/>
            <w:webHidden/>
            <w:sz w:val="24"/>
            <w:szCs w:val="24"/>
          </w:rPr>
          <w:tab/>
        </w:r>
        <w:r w:rsidRPr="00B67489">
          <w:rPr>
            <w:b w:val="0"/>
            <w:webHidden/>
            <w:sz w:val="24"/>
            <w:szCs w:val="24"/>
          </w:rPr>
          <w:fldChar w:fldCharType="begin"/>
        </w:r>
        <w:r w:rsidRPr="00B67489">
          <w:rPr>
            <w:b w:val="0"/>
            <w:webHidden/>
            <w:sz w:val="24"/>
            <w:szCs w:val="24"/>
          </w:rPr>
          <w:instrText xml:space="preserve"> PAGEREF _Toc88494273 \h </w:instrText>
        </w:r>
        <w:r w:rsidRPr="00B67489">
          <w:rPr>
            <w:b w:val="0"/>
            <w:webHidden/>
            <w:sz w:val="24"/>
            <w:szCs w:val="24"/>
          </w:rPr>
        </w:r>
        <w:r w:rsidRPr="00B67489">
          <w:rPr>
            <w:b w:val="0"/>
            <w:webHidden/>
            <w:sz w:val="24"/>
            <w:szCs w:val="24"/>
          </w:rPr>
          <w:fldChar w:fldCharType="separate"/>
        </w:r>
        <w:r w:rsidRPr="00B67489">
          <w:rPr>
            <w:b w:val="0"/>
            <w:webHidden/>
            <w:sz w:val="24"/>
            <w:szCs w:val="24"/>
          </w:rPr>
          <w:t>10</w:t>
        </w:r>
        <w:r w:rsidRPr="00B67489">
          <w:rPr>
            <w:b w:val="0"/>
            <w:webHidden/>
            <w:sz w:val="24"/>
            <w:szCs w:val="24"/>
          </w:rPr>
          <w:fldChar w:fldCharType="end"/>
        </w:r>
      </w:hyperlink>
    </w:p>
    <w:p w14:paraId="1FA83C9E" w14:textId="65656265" w:rsidR="00B67489" w:rsidRPr="00B67489" w:rsidRDefault="00B67489">
      <w:pPr>
        <w:pStyle w:val="TOC1"/>
        <w:rPr>
          <w:rFonts w:eastAsiaTheme="minorEastAsia" w:cstheme="minorBidi"/>
          <w:b w:val="0"/>
          <w:sz w:val="24"/>
          <w:szCs w:val="24"/>
          <w:lang w:eastAsia="en-AU"/>
        </w:rPr>
      </w:pPr>
      <w:hyperlink w:anchor="_Toc88494274" w:history="1">
        <w:r w:rsidRPr="00B67489">
          <w:rPr>
            <w:rStyle w:val="Hyperlink"/>
            <w:b w:val="0"/>
            <w:sz w:val="24"/>
            <w:szCs w:val="24"/>
          </w:rPr>
          <w:t>4.</w:t>
        </w:r>
        <w:r w:rsidRPr="00B67489">
          <w:rPr>
            <w:rFonts w:eastAsiaTheme="minorEastAsia" w:cstheme="minorBidi"/>
            <w:b w:val="0"/>
            <w:sz w:val="24"/>
            <w:szCs w:val="24"/>
            <w:lang w:eastAsia="en-AU"/>
          </w:rPr>
          <w:tab/>
        </w:r>
        <w:r w:rsidRPr="00B67489">
          <w:rPr>
            <w:rStyle w:val="Hyperlink"/>
            <w:b w:val="0"/>
            <w:sz w:val="24"/>
            <w:szCs w:val="24"/>
          </w:rPr>
          <w:t>Results</w:t>
        </w:r>
        <w:r w:rsidRPr="00B67489">
          <w:rPr>
            <w:b w:val="0"/>
            <w:webHidden/>
            <w:sz w:val="24"/>
            <w:szCs w:val="24"/>
          </w:rPr>
          <w:tab/>
        </w:r>
        <w:r w:rsidRPr="00B67489">
          <w:rPr>
            <w:b w:val="0"/>
            <w:webHidden/>
            <w:sz w:val="24"/>
            <w:szCs w:val="24"/>
          </w:rPr>
          <w:fldChar w:fldCharType="begin"/>
        </w:r>
        <w:r w:rsidRPr="00B67489">
          <w:rPr>
            <w:b w:val="0"/>
            <w:webHidden/>
            <w:sz w:val="24"/>
            <w:szCs w:val="24"/>
          </w:rPr>
          <w:instrText xml:space="preserve"> PAGEREF _Toc88494274 \h </w:instrText>
        </w:r>
        <w:r w:rsidRPr="00B67489">
          <w:rPr>
            <w:b w:val="0"/>
            <w:webHidden/>
            <w:sz w:val="24"/>
            <w:szCs w:val="24"/>
          </w:rPr>
        </w:r>
        <w:r w:rsidRPr="00B67489">
          <w:rPr>
            <w:b w:val="0"/>
            <w:webHidden/>
            <w:sz w:val="24"/>
            <w:szCs w:val="24"/>
          </w:rPr>
          <w:fldChar w:fldCharType="separate"/>
        </w:r>
        <w:r w:rsidRPr="00B67489">
          <w:rPr>
            <w:b w:val="0"/>
            <w:webHidden/>
            <w:sz w:val="24"/>
            <w:szCs w:val="24"/>
          </w:rPr>
          <w:t>12</w:t>
        </w:r>
        <w:r w:rsidRPr="00B67489">
          <w:rPr>
            <w:b w:val="0"/>
            <w:webHidden/>
            <w:sz w:val="24"/>
            <w:szCs w:val="24"/>
          </w:rPr>
          <w:fldChar w:fldCharType="end"/>
        </w:r>
      </w:hyperlink>
    </w:p>
    <w:p w14:paraId="142A48E6" w14:textId="5A4EF427" w:rsidR="00B67489" w:rsidRPr="00B67489" w:rsidRDefault="00B67489">
      <w:pPr>
        <w:pStyle w:val="TOC2"/>
        <w:rPr>
          <w:rFonts w:eastAsiaTheme="minorEastAsia" w:cstheme="minorBidi"/>
          <w:b w:val="0"/>
          <w:sz w:val="24"/>
          <w:szCs w:val="24"/>
          <w:lang w:eastAsia="en-AU"/>
        </w:rPr>
      </w:pPr>
      <w:hyperlink w:anchor="_Toc88494275" w:history="1">
        <w:r w:rsidRPr="00B67489">
          <w:rPr>
            <w:rStyle w:val="Hyperlink"/>
            <w:b w:val="0"/>
            <w:sz w:val="24"/>
            <w:szCs w:val="24"/>
          </w:rPr>
          <w:t>4.1</w:t>
        </w:r>
        <w:r w:rsidRPr="00B67489">
          <w:rPr>
            <w:rFonts w:eastAsiaTheme="minorEastAsia" w:cstheme="minorBidi"/>
            <w:b w:val="0"/>
            <w:sz w:val="24"/>
            <w:szCs w:val="24"/>
            <w:lang w:eastAsia="en-AU"/>
          </w:rPr>
          <w:tab/>
        </w:r>
        <w:r w:rsidRPr="00B67489">
          <w:rPr>
            <w:rStyle w:val="Hyperlink"/>
            <w:b w:val="0"/>
            <w:sz w:val="24"/>
            <w:szCs w:val="24"/>
          </w:rPr>
          <w:t>Overview</w:t>
        </w:r>
        <w:r w:rsidRPr="00B67489">
          <w:rPr>
            <w:b w:val="0"/>
            <w:webHidden/>
            <w:sz w:val="24"/>
            <w:szCs w:val="24"/>
          </w:rPr>
          <w:tab/>
        </w:r>
        <w:r w:rsidRPr="00B67489">
          <w:rPr>
            <w:b w:val="0"/>
            <w:webHidden/>
            <w:sz w:val="24"/>
            <w:szCs w:val="24"/>
          </w:rPr>
          <w:fldChar w:fldCharType="begin"/>
        </w:r>
        <w:r w:rsidRPr="00B67489">
          <w:rPr>
            <w:b w:val="0"/>
            <w:webHidden/>
            <w:sz w:val="24"/>
            <w:szCs w:val="24"/>
          </w:rPr>
          <w:instrText xml:space="preserve"> PAGEREF _Toc88494275 \h </w:instrText>
        </w:r>
        <w:r w:rsidRPr="00B67489">
          <w:rPr>
            <w:b w:val="0"/>
            <w:webHidden/>
            <w:sz w:val="24"/>
            <w:szCs w:val="24"/>
          </w:rPr>
        </w:r>
        <w:r w:rsidRPr="00B67489">
          <w:rPr>
            <w:b w:val="0"/>
            <w:webHidden/>
            <w:sz w:val="24"/>
            <w:szCs w:val="24"/>
          </w:rPr>
          <w:fldChar w:fldCharType="separate"/>
        </w:r>
        <w:r w:rsidRPr="00B67489">
          <w:rPr>
            <w:b w:val="0"/>
            <w:webHidden/>
            <w:sz w:val="24"/>
            <w:szCs w:val="24"/>
          </w:rPr>
          <w:t>12</w:t>
        </w:r>
        <w:r w:rsidRPr="00B67489">
          <w:rPr>
            <w:b w:val="0"/>
            <w:webHidden/>
            <w:sz w:val="24"/>
            <w:szCs w:val="24"/>
          </w:rPr>
          <w:fldChar w:fldCharType="end"/>
        </w:r>
      </w:hyperlink>
    </w:p>
    <w:p w14:paraId="353B6EAE" w14:textId="781D3D22" w:rsidR="00B67489" w:rsidRPr="00B67489" w:rsidRDefault="00B67489">
      <w:pPr>
        <w:pStyle w:val="TOC3"/>
        <w:rPr>
          <w:rFonts w:eastAsiaTheme="minorEastAsia" w:cstheme="minorBidi"/>
          <w:lang w:eastAsia="en-AU"/>
        </w:rPr>
      </w:pPr>
      <w:hyperlink w:anchor="_Toc88494276" w:history="1">
        <w:r w:rsidRPr="00B67489">
          <w:rPr>
            <w:rStyle w:val="Hyperlink"/>
          </w:rPr>
          <w:t>4.1.1</w:t>
        </w:r>
        <w:r w:rsidRPr="00B67489">
          <w:rPr>
            <w:rFonts w:eastAsiaTheme="minorEastAsia" w:cstheme="minorBidi"/>
            <w:lang w:eastAsia="en-AU"/>
          </w:rPr>
          <w:tab/>
        </w:r>
        <w:r w:rsidRPr="00B67489">
          <w:rPr>
            <w:rStyle w:val="Hyperlink"/>
          </w:rPr>
          <w:t>Pathways for producers to monetise carbon benefits</w:t>
        </w:r>
        <w:r w:rsidRPr="00B67489">
          <w:rPr>
            <w:webHidden/>
          </w:rPr>
          <w:tab/>
        </w:r>
        <w:r w:rsidRPr="00B67489">
          <w:rPr>
            <w:webHidden/>
          </w:rPr>
          <w:fldChar w:fldCharType="begin"/>
        </w:r>
        <w:r w:rsidRPr="00B67489">
          <w:rPr>
            <w:webHidden/>
          </w:rPr>
          <w:instrText xml:space="preserve"> PAGEREF _Toc88494276 \h </w:instrText>
        </w:r>
        <w:r w:rsidRPr="00B67489">
          <w:rPr>
            <w:webHidden/>
          </w:rPr>
        </w:r>
        <w:r w:rsidRPr="00B67489">
          <w:rPr>
            <w:webHidden/>
          </w:rPr>
          <w:fldChar w:fldCharType="separate"/>
        </w:r>
        <w:r w:rsidRPr="00B67489">
          <w:rPr>
            <w:webHidden/>
          </w:rPr>
          <w:t>12</w:t>
        </w:r>
        <w:r w:rsidRPr="00B67489">
          <w:rPr>
            <w:webHidden/>
          </w:rPr>
          <w:fldChar w:fldCharType="end"/>
        </w:r>
      </w:hyperlink>
    </w:p>
    <w:p w14:paraId="4411DBDB" w14:textId="69F7D7E7" w:rsidR="00B67489" w:rsidRPr="00B67489" w:rsidRDefault="00B67489">
      <w:pPr>
        <w:pStyle w:val="TOC3"/>
        <w:rPr>
          <w:rFonts w:eastAsiaTheme="minorEastAsia" w:cstheme="minorBidi"/>
          <w:lang w:eastAsia="en-AU"/>
        </w:rPr>
      </w:pPr>
      <w:hyperlink w:anchor="_Toc88494277" w:history="1">
        <w:r w:rsidRPr="00B67489">
          <w:rPr>
            <w:rStyle w:val="Hyperlink"/>
          </w:rPr>
          <w:t>4.1.2</w:t>
        </w:r>
        <w:r w:rsidRPr="00B67489">
          <w:rPr>
            <w:rFonts w:eastAsiaTheme="minorEastAsia" w:cstheme="minorBidi"/>
            <w:lang w:eastAsia="en-AU"/>
          </w:rPr>
          <w:tab/>
        </w:r>
        <w:r w:rsidRPr="00B67489">
          <w:rPr>
            <w:rStyle w:val="Hyperlink"/>
          </w:rPr>
          <w:t>SustainCERT’s solution</w:t>
        </w:r>
        <w:r w:rsidRPr="00B67489">
          <w:rPr>
            <w:webHidden/>
          </w:rPr>
          <w:tab/>
        </w:r>
        <w:r w:rsidRPr="00B67489">
          <w:rPr>
            <w:webHidden/>
          </w:rPr>
          <w:fldChar w:fldCharType="begin"/>
        </w:r>
        <w:r w:rsidRPr="00B67489">
          <w:rPr>
            <w:webHidden/>
          </w:rPr>
          <w:instrText xml:space="preserve"> PAGEREF _Toc88494277 \h </w:instrText>
        </w:r>
        <w:r w:rsidRPr="00B67489">
          <w:rPr>
            <w:webHidden/>
          </w:rPr>
        </w:r>
        <w:r w:rsidRPr="00B67489">
          <w:rPr>
            <w:webHidden/>
          </w:rPr>
          <w:fldChar w:fldCharType="separate"/>
        </w:r>
        <w:r w:rsidRPr="00B67489">
          <w:rPr>
            <w:webHidden/>
          </w:rPr>
          <w:t>13</w:t>
        </w:r>
        <w:r w:rsidRPr="00B67489">
          <w:rPr>
            <w:webHidden/>
          </w:rPr>
          <w:fldChar w:fldCharType="end"/>
        </w:r>
      </w:hyperlink>
    </w:p>
    <w:p w14:paraId="7C2C47CE" w14:textId="00076B24" w:rsidR="00B67489" w:rsidRPr="00B67489" w:rsidRDefault="00B67489">
      <w:pPr>
        <w:pStyle w:val="TOC2"/>
        <w:rPr>
          <w:rFonts w:eastAsiaTheme="minorEastAsia" w:cstheme="minorBidi"/>
          <w:b w:val="0"/>
          <w:sz w:val="24"/>
          <w:szCs w:val="24"/>
          <w:lang w:eastAsia="en-AU"/>
        </w:rPr>
      </w:pPr>
      <w:hyperlink w:anchor="_Toc88494278" w:history="1">
        <w:r w:rsidRPr="00B67489">
          <w:rPr>
            <w:rStyle w:val="Hyperlink"/>
            <w:b w:val="0"/>
            <w:sz w:val="24"/>
            <w:szCs w:val="24"/>
          </w:rPr>
          <w:t>4.2</w:t>
        </w:r>
        <w:r w:rsidRPr="00B67489">
          <w:rPr>
            <w:rFonts w:eastAsiaTheme="minorEastAsia" w:cstheme="minorBidi"/>
            <w:b w:val="0"/>
            <w:sz w:val="24"/>
            <w:szCs w:val="24"/>
            <w:lang w:eastAsia="en-AU"/>
          </w:rPr>
          <w:tab/>
        </w:r>
        <w:r w:rsidRPr="00B67489">
          <w:rPr>
            <w:rStyle w:val="Hyperlink"/>
            <w:b w:val="0"/>
            <w:sz w:val="24"/>
            <w:szCs w:val="24"/>
          </w:rPr>
          <w:t>Climate targets and claims</w:t>
        </w:r>
        <w:r w:rsidRPr="00B67489">
          <w:rPr>
            <w:b w:val="0"/>
            <w:webHidden/>
            <w:sz w:val="24"/>
            <w:szCs w:val="24"/>
          </w:rPr>
          <w:tab/>
        </w:r>
        <w:r w:rsidRPr="00B67489">
          <w:rPr>
            <w:b w:val="0"/>
            <w:webHidden/>
            <w:sz w:val="24"/>
            <w:szCs w:val="24"/>
          </w:rPr>
          <w:fldChar w:fldCharType="begin"/>
        </w:r>
        <w:r w:rsidRPr="00B67489">
          <w:rPr>
            <w:b w:val="0"/>
            <w:webHidden/>
            <w:sz w:val="24"/>
            <w:szCs w:val="24"/>
          </w:rPr>
          <w:instrText xml:space="preserve"> PAGEREF _Toc88494278 \h </w:instrText>
        </w:r>
        <w:r w:rsidRPr="00B67489">
          <w:rPr>
            <w:b w:val="0"/>
            <w:webHidden/>
            <w:sz w:val="24"/>
            <w:szCs w:val="24"/>
          </w:rPr>
        </w:r>
        <w:r w:rsidRPr="00B67489">
          <w:rPr>
            <w:b w:val="0"/>
            <w:webHidden/>
            <w:sz w:val="24"/>
            <w:szCs w:val="24"/>
          </w:rPr>
          <w:fldChar w:fldCharType="separate"/>
        </w:r>
        <w:r w:rsidRPr="00B67489">
          <w:rPr>
            <w:b w:val="0"/>
            <w:webHidden/>
            <w:sz w:val="24"/>
            <w:szCs w:val="24"/>
          </w:rPr>
          <w:t>15</w:t>
        </w:r>
        <w:r w:rsidRPr="00B67489">
          <w:rPr>
            <w:b w:val="0"/>
            <w:webHidden/>
            <w:sz w:val="24"/>
            <w:szCs w:val="24"/>
          </w:rPr>
          <w:fldChar w:fldCharType="end"/>
        </w:r>
      </w:hyperlink>
    </w:p>
    <w:p w14:paraId="49CBB594" w14:textId="18CB6AD0" w:rsidR="00B67489" w:rsidRPr="00B67489" w:rsidRDefault="00B67489">
      <w:pPr>
        <w:pStyle w:val="TOC3"/>
        <w:rPr>
          <w:rFonts w:eastAsiaTheme="minorEastAsia" w:cstheme="minorBidi"/>
          <w:lang w:eastAsia="en-AU"/>
        </w:rPr>
      </w:pPr>
      <w:hyperlink w:anchor="_Toc88494279" w:history="1">
        <w:r w:rsidRPr="00B67489">
          <w:rPr>
            <w:rStyle w:val="Hyperlink"/>
          </w:rPr>
          <w:t>4.2.1</w:t>
        </w:r>
        <w:r w:rsidRPr="00B67489">
          <w:rPr>
            <w:rFonts w:eastAsiaTheme="minorEastAsia" w:cstheme="minorBidi"/>
            <w:lang w:eastAsia="en-AU"/>
          </w:rPr>
          <w:tab/>
        </w:r>
        <w:r w:rsidRPr="00B67489">
          <w:rPr>
            <w:rStyle w:val="Hyperlink"/>
          </w:rPr>
          <w:t>Carbon Neutral</w:t>
        </w:r>
        <w:r w:rsidRPr="00B67489">
          <w:rPr>
            <w:webHidden/>
          </w:rPr>
          <w:tab/>
        </w:r>
        <w:r w:rsidRPr="00B67489">
          <w:rPr>
            <w:webHidden/>
          </w:rPr>
          <w:fldChar w:fldCharType="begin"/>
        </w:r>
        <w:r w:rsidRPr="00B67489">
          <w:rPr>
            <w:webHidden/>
          </w:rPr>
          <w:instrText xml:space="preserve"> PAGEREF _Toc88494279 \h </w:instrText>
        </w:r>
        <w:r w:rsidRPr="00B67489">
          <w:rPr>
            <w:webHidden/>
          </w:rPr>
        </w:r>
        <w:r w:rsidRPr="00B67489">
          <w:rPr>
            <w:webHidden/>
          </w:rPr>
          <w:fldChar w:fldCharType="separate"/>
        </w:r>
        <w:r w:rsidRPr="00B67489">
          <w:rPr>
            <w:webHidden/>
          </w:rPr>
          <w:t>15</w:t>
        </w:r>
        <w:r w:rsidRPr="00B67489">
          <w:rPr>
            <w:webHidden/>
          </w:rPr>
          <w:fldChar w:fldCharType="end"/>
        </w:r>
      </w:hyperlink>
    </w:p>
    <w:p w14:paraId="2701BF77" w14:textId="443E17F5" w:rsidR="00B67489" w:rsidRPr="00B67489" w:rsidRDefault="00B67489">
      <w:pPr>
        <w:pStyle w:val="TOC3"/>
        <w:rPr>
          <w:rFonts w:eastAsiaTheme="minorEastAsia" w:cstheme="minorBidi"/>
          <w:lang w:eastAsia="en-AU"/>
        </w:rPr>
      </w:pPr>
      <w:hyperlink w:anchor="_Toc88494280" w:history="1">
        <w:r w:rsidRPr="00B67489">
          <w:rPr>
            <w:rStyle w:val="Hyperlink"/>
          </w:rPr>
          <w:t>4.2.2</w:t>
        </w:r>
        <w:r w:rsidRPr="00B67489">
          <w:rPr>
            <w:rFonts w:eastAsiaTheme="minorEastAsia" w:cstheme="minorBidi"/>
            <w:lang w:eastAsia="en-AU"/>
          </w:rPr>
          <w:tab/>
        </w:r>
        <w:r w:rsidRPr="00B67489">
          <w:rPr>
            <w:rStyle w:val="Hyperlink"/>
          </w:rPr>
          <w:t>Climate Active</w:t>
        </w:r>
        <w:r w:rsidRPr="00B67489">
          <w:rPr>
            <w:webHidden/>
          </w:rPr>
          <w:tab/>
        </w:r>
        <w:r w:rsidRPr="00B67489">
          <w:rPr>
            <w:webHidden/>
          </w:rPr>
          <w:fldChar w:fldCharType="begin"/>
        </w:r>
        <w:r w:rsidRPr="00B67489">
          <w:rPr>
            <w:webHidden/>
          </w:rPr>
          <w:instrText xml:space="preserve"> PAGEREF _Toc88494280 \h </w:instrText>
        </w:r>
        <w:r w:rsidRPr="00B67489">
          <w:rPr>
            <w:webHidden/>
          </w:rPr>
        </w:r>
        <w:r w:rsidRPr="00B67489">
          <w:rPr>
            <w:webHidden/>
          </w:rPr>
          <w:fldChar w:fldCharType="separate"/>
        </w:r>
        <w:r w:rsidRPr="00B67489">
          <w:rPr>
            <w:webHidden/>
          </w:rPr>
          <w:t>16</w:t>
        </w:r>
        <w:r w:rsidRPr="00B67489">
          <w:rPr>
            <w:webHidden/>
          </w:rPr>
          <w:fldChar w:fldCharType="end"/>
        </w:r>
      </w:hyperlink>
    </w:p>
    <w:p w14:paraId="091B03C3" w14:textId="0935DEF5" w:rsidR="00B67489" w:rsidRPr="00B67489" w:rsidRDefault="00B67489">
      <w:pPr>
        <w:pStyle w:val="TOC3"/>
        <w:rPr>
          <w:rFonts w:eastAsiaTheme="minorEastAsia" w:cstheme="minorBidi"/>
          <w:lang w:eastAsia="en-AU"/>
        </w:rPr>
      </w:pPr>
      <w:hyperlink w:anchor="_Toc88494281" w:history="1">
        <w:r w:rsidRPr="00B67489">
          <w:rPr>
            <w:rStyle w:val="Hyperlink"/>
          </w:rPr>
          <w:t>4.2.3</w:t>
        </w:r>
        <w:r w:rsidRPr="00B67489">
          <w:rPr>
            <w:rFonts w:eastAsiaTheme="minorEastAsia" w:cstheme="minorBidi"/>
            <w:lang w:eastAsia="en-AU"/>
          </w:rPr>
          <w:tab/>
        </w:r>
        <w:r w:rsidRPr="00B67489">
          <w:rPr>
            <w:rStyle w:val="Hyperlink"/>
          </w:rPr>
          <w:t>Net Zero</w:t>
        </w:r>
        <w:r w:rsidRPr="00B67489">
          <w:rPr>
            <w:webHidden/>
          </w:rPr>
          <w:tab/>
        </w:r>
        <w:r w:rsidRPr="00B67489">
          <w:rPr>
            <w:webHidden/>
          </w:rPr>
          <w:fldChar w:fldCharType="begin"/>
        </w:r>
        <w:r w:rsidRPr="00B67489">
          <w:rPr>
            <w:webHidden/>
          </w:rPr>
          <w:instrText xml:space="preserve"> PAGEREF _Toc88494281 \h </w:instrText>
        </w:r>
        <w:r w:rsidRPr="00B67489">
          <w:rPr>
            <w:webHidden/>
          </w:rPr>
        </w:r>
        <w:r w:rsidRPr="00B67489">
          <w:rPr>
            <w:webHidden/>
          </w:rPr>
          <w:fldChar w:fldCharType="separate"/>
        </w:r>
        <w:r w:rsidRPr="00B67489">
          <w:rPr>
            <w:webHidden/>
          </w:rPr>
          <w:t>16</w:t>
        </w:r>
        <w:r w:rsidRPr="00B67489">
          <w:rPr>
            <w:webHidden/>
          </w:rPr>
          <w:fldChar w:fldCharType="end"/>
        </w:r>
      </w:hyperlink>
    </w:p>
    <w:p w14:paraId="6C6C06E9" w14:textId="1715A998" w:rsidR="00B67489" w:rsidRPr="00B67489" w:rsidRDefault="00B67489">
      <w:pPr>
        <w:pStyle w:val="TOC3"/>
        <w:rPr>
          <w:rFonts w:eastAsiaTheme="minorEastAsia" w:cstheme="minorBidi"/>
          <w:lang w:eastAsia="en-AU"/>
        </w:rPr>
      </w:pPr>
      <w:hyperlink w:anchor="_Toc88494282" w:history="1">
        <w:r w:rsidRPr="00B67489">
          <w:rPr>
            <w:rStyle w:val="Hyperlink"/>
          </w:rPr>
          <w:t>4.2.4</w:t>
        </w:r>
        <w:r w:rsidRPr="00B67489">
          <w:rPr>
            <w:rFonts w:eastAsiaTheme="minorEastAsia" w:cstheme="minorBidi"/>
            <w:lang w:eastAsia="en-AU"/>
          </w:rPr>
          <w:tab/>
        </w:r>
        <w:r w:rsidRPr="00B67489">
          <w:rPr>
            <w:rStyle w:val="Hyperlink"/>
          </w:rPr>
          <w:t>Science Based Targets</w:t>
        </w:r>
        <w:r w:rsidRPr="00B67489">
          <w:rPr>
            <w:webHidden/>
          </w:rPr>
          <w:tab/>
        </w:r>
        <w:r w:rsidRPr="00B67489">
          <w:rPr>
            <w:webHidden/>
          </w:rPr>
          <w:fldChar w:fldCharType="begin"/>
        </w:r>
        <w:r w:rsidRPr="00B67489">
          <w:rPr>
            <w:webHidden/>
          </w:rPr>
          <w:instrText xml:space="preserve"> PAGEREF _Toc88494282 \h </w:instrText>
        </w:r>
        <w:r w:rsidRPr="00B67489">
          <w:rPr>
            <w:webHidden/>
          </w:rPr>
        </w:r>
        <w:r w:rsidRPr="00B67489">
          <w:rPr>
            <w:webHidden/>
          </w:rPr>
          <w:fldChar w:fldCharType="separate"/>
        </w:r>
        <w:r w:rsidRPr="00B67489">
          <w:rPr>
            <w:webHidden/>
          </w:rPr>
          <w:t>18</w:t>
        </w:r>
        <w:r w:rsidRPr="00B67489">
          <w:rPr>
            <w:webHidden/>
          </w:rPr>
          <w:fldChar w:fldCharType="end"/>
        </w:r>
      </w:hyperlink>
    </w:p>
    <w:p w14:paraId="075205E5" w14:textId="6EFF9D40" w:rsidR="00B67489" w:rsidRPr="00B67489" w:rsidRDefault="00B67489">
      <w:pPr>
        <w:pStyle w:val="TOC2"/>
        <w:rPr>
          <w:rFonts w:eastAsiaTheme="minorEastAsia" w:cstheme="minorBidi"/>
          <w:b w:val="0"/>
          <w:sz w:val="24"/>
          <w:szCs w:val="24"/>
          <w:lang w:eastAsia="en-AU"/>
        </w:rPr>
      </w:pPr>
      <w:hyperlink w:anchor="_Toc88494283" w:history="1">
        <w:r w:rsidRPr="00B67489">
          <w:rPr>
            <w:rStyle w:val="Hyperlink"/>
            <w:b w:val="0"/>
            <w:sz w:val="24"/>
            <w:szCs w:val="24"/>
          </w:rPr>
          <w:t>4.3</w:t>
        </w:r>
        <w:r w:rsidRPr="00B67489">
          <w:rPr>
            <w:rFonts w:eastAsiaTheme="minorEastAsia" w:cstheme="minorBidi"/>
            <w:b w:val="0"/>
            <w:sz w:val="24"/>
            <w:szCs w:val="24"/>
            <w:lang w:eastAsia="en-AU"/>
          </w:rPr>
          <w:tab/>
        </w:r>
        <w:r w:rsidRPr="00B67489">
          <w:rPr>
            <w:rStyle w:val="Hyperlink"/>
            <w:b w:val="0"/>
            <w:sz w:val="24"/>
            <w:szCs w:val="24"/>
          </w:rPr>
          <w:t>International risks for export of red meat</w:t>
        </w:r>
        <w:r w:rsidRPr="00B67489">
          <w:rPr>
            <w:b w:val="0"/>
            <w:webHidden/>
            <w:sz w:val="24"/>
            <w:szCs w:val="24"/>
          </w:rPr>
          <w:tab/>
        </w:r>
        <w:r w:rsidRPr="00B67489">
          <w:rPr>
            <w:b w:val="0"/>
            <w:webHidden/>
            <w:sz w:val="24"/>
            <w:szCs w:val="24"/>
          </w:rPr>
          <w:fldChar w:fldCharType="begin"/>
        </w:r>
        <w:r w:rsidRPr="00B67489">
          <w:rPr>
            <w:b w:val="0"/>
            <w:webHidden/>
            <w:sz w:val="24"/>
            <w:szCs w:val="24"/>
          </w:rPr>
          <w:instrText xml:space="preserve"> PAGEREF _Toc88494283 \h </w:instrText>
        </w:r>
        <w:r w:rsidRPr="00B67489">
          <w:rPr>
            <w:b w:val="0"/>
            <w:webHidden/>
            <w:sz w:val="24"/>
            <w:szCs w:val="24"/>
          </w:rPr>
        </w:r>
        <w:r w:rsidRPr="00B67489">
          <w:rPr>
            <w:b w:val="0"/>
            <w:webHidden/>
            <w:sz w:val="24"/>
            <w:szCs w:val="24"/>
          </w:rPr>
          <w:fldChar w:fldCharType="separate"/>
        </w:r>
        <w:r w:rsidRPr="00B67489">
          <w:rPr>
            <w:b w:val="0"/>
            <w:webHidden/>
            <w:sz w:val="24"/>
            <w:szCs w:val="24"/>
          </w:rPr>
          <w:t>19</w:t>
        </w:r>
        <w:r w:rsidRPr="00B67489">
          <w:rPr>
            <w:b w:val="0"/>
            <w:webHidden/>
            <w:sz w:val="24"/>
            <w:szCs w:val="24"/>
          </w:rPr>
          <w:fldChar w:fldCharType="end"/>
        </w:r>
      </w:hyperlink>
    </w:p>
    <w:p w14:paraId="70B8CF5F" w14:textId="0DCD8532" w:rsidR="00B67489" w:rsidRPr="00B67489" w:rsidRDefault="00B67489">
      <w:pPr>
        <w:pStyle w:val="TOC2"/>
        <w:rPr>
          <w:rFonts w:eastAsiaTheme="minorEastAsia" w:cstheme="minorBidi"/>
          <w:b w:val="0"/>
          <w:sz w:val="24"/>
          <w:szCs w:val="24"/>
          <w:lang w:eastAsia="en-AU"/>
        </w:rPr>
      </w:pPr>
      <w:hyperlink w:anchor="_Toc88494284" w:history="1">
        <w:r w:rsidRPr="00B67489">
          <w:rPr>
            <w:rStyle w:val="Hyperlink"/>
            <w:b w:val="0"/>
            <w:sz w:val="24"/>
            <w:szCs w:val="24"/>
          </w:rPr>
          <w:t>4.4</w:t>
        </w:r>
        <w:r w:rsidRPr="00B67489">
          <w:rPr>
            <w:rFonts w:eastAsiaTheme="minorEastAsia" w:cstheme="minorBidi"/>
            <w:b w:val="0"/>
            <w:sz w:val="24"/>
            <w:szCs w:val="24"/>
            <w:lang w:eastAsia="en-AU"/>
          </w:rPr>
          <w:tab/>
        </w:r>
        <w:r w:rsidRPr="00B67489">
          <w:rPr>
            <w:rStyle w:val="Hyperlink"/>
            <w:b w:val="0"/>
            <w:sz w:val="24"/>
            <w:szCs w:val="24"/>
          </w:rPr>
          <w:t>Label options for low or zero carbon beef</w:t>
        </w:r>
        <w:r w:rsidRPr="00B67489">
          <w:rPr>
            <w:b w:val="0"/>
            <w:webHidden/>
            <w:sz w:val="24"/>
            <w:szCs w:val="24"/>
          </w:rPr>
          <w:tab/>
        </w:r>
        <w:r w:rsidRPr="00B67489">
          <w:rPr>
            <w:b w:val="0"/>
            <w:webHidden/>
            <w:sz w:val="24"/>
            <w:szCs w:val="24"/>
          </w:rPr>
          <w:fldChar w:fldCharType="begin"/>
        </w:r>
        <w:r w:rsidRPr="00B67489">
          <w:rPr>
            <w:b w:val="0"/>
            <w:webHidden/>
            <w:sz w:val="24"/>
            <w:szCs w:val="24"/>
          </w:rPr>
          <w:instrText xml:space="preserve"> PAGEREF _Toc88494284 \h </w:instrText>
        </w:r>
        <w:r w:rsidRPr="00B67489">
          <w:rPr>
            <w:b w:val="0"/>
            <w:webHidden/>
            <w:sz w:val="24"/>
            <w:szCs w:val="24"/>
          </w:rPr>
        </w:r>
        <w:r w:rsidRPr="00B67489">
          <w:rPr>
            <w:b w:val="0"/>
            <w:webHidden/>
            <w:sz w:val="24"/>
            <w:szCs w:val="24"/>
          </w:rPr>
          <w:fldChar w:fldCharType="separate"/>
        </w:r>
        <w:r w:rsidRPr="00B67489">
          <w:rPr>
            <w:b w:val="0"/>
            <w:webHidden/>
            <w:sz w:val="24"/>
            <w:szCs w:val="24"/>
          </w:rPr>
          <w:t>22</w:t>
        </w:r>
        <w:r w:rsidRPr="00B67489">
          <w:rPr>
            <w:b w:val="0"/>
            <w:webHidden/>
            <w:sz w:val="24"/>
            <w:szCs w:val="24"/>
          </w:rPr>
          <w:fldChar w:fldCharType="end"/>
        </w:r>
      </w:hyperlink>
    </w:p>
    <w:p w14:paraId="7CF85DA7" w14:textId="79807DAB" w:rsidR="00B67489" w:rsidRPr="00B67489" w:rsidRDefault="00B67489">
      <w:pPr>
        <w:pStyle w:val="TOC2"/>
        <w:rPr>
          <w:rFonts w:eastAsiaTheme="minorEastAsia" w:cstheme="minorBidi"/>
          <w:b w:val="0"/>
          <w:sz w:val="24"/>
          <w:szCs w:val="24"/>
          <w:lang w:eastAsia="en-AU"/>
        </w:rPr>
      </w:pPr>
      <w:hyperlink w:anchor="_Toc88494285" w:history="1">
        <w:r w:rsidRPr="00B67489">
          <w:rPr>
            <w:rStyle w:val="Hyperlink"/>
            <w:b w:val="0"/>
            <w:sz w:val="24"/>
            <w:szCs w:val="24"/>
          </w:rPr>
          <w:t>4.5</w:t>
        </w:r>
        <w:r w:rsidRPr="00B67489">
          <w:rPr>
            <w:rFonts w:eastAsiaTheme="minorEastAsia" w:cstheme="minorBidi"/>
            <w:b w:val="0"/>
            <w:sz w:val="24"/>
            <w:szCs w:val="24"/>
            <w:lang w:eastAsia="en-AU"/>
          </w:rPr>
          <w:tab/>
        </w:r>
        <w:r w:rsidRPr="00B67489">
          <w:rPr>
            <w:rStyle w:val="Hyperlink"/>
            <w:b w:val="0"/>
            <w:sz w:val="24"/>
            <w:szCs w:val="24"/>
          </w:rPr>
          <w:t>Review of industry preferred interventions, methodologies and tools</w:t>
        </w:r>
        <w:r w:rsidRPr="00B67489">
          <w:rPr>
            <w:b w:val="0"/>
            <w:webHidden/>
            <w:sz w:val="24"/>
            <w:szCs w:val="24"/>
          </w:rPr>
          <w:tab/>
        </w:r>
        <w:r w:rsidRPr="00B67489">
          <w:rPr>
            <w:b w:val="0"/>
            <w:webHidden/>
            <w:sz w:val="24"/>
            <w:szCs w:val="24"/>
          </w:rPr>
          <w:fldChar w:fldCharType="begin"/>
        </w:r>
        <w:r w:rsidRPr="00B67489">
          <w:rPr>
            <w:b w:val="0"/>
            <w:webHidden/>
            <w:sz w:val="24"/>
            <w:szCs w:val="24"/>
          </w:rPr>
          <w:instrText xml:space="preserve"> PAGEREF _Toc88494285 \h </w:instrText>
        </w:r>
        <w:r w:rsidRPr="00B67489">
          <w:rPr>
            <w:b w:val="0"/>
            <w:webHidden/>
            <w:sz w:val="24"/>
            <w:szCs w:val="24"/>
          </w:rPr>
        </w:r>
        <w:r w:rsidRPr="00B67489">
          <w:rPr>
            <w:b w:val="0"/>
            <w:webHidden/>
            <w:sz w:val="24"/>
            <w:szCs w:val="24"/>
          </w:rPr>
          <w:fldChar w:fldCharType="separate"/>
        </w:r>
        <w:r w:rsidRPr="00B67489">
          <w:rPr>
            <w:b w:val="0"/>
            <w:webHidden/>
            <w:sz w:val="24"/>
            <w:szCs w:val="24"/>
          </w:rPr>
          <w:t>25</w:t>
        </w:r>
        <w:r w:rsidRPr="00B67489">
          <w:rPr>
            <w:b w:val="0"/>
            <w:webHidden/>
            <w:sz w:val="24"/>
            <w:szCs w:val="24"/>
          </w:rPr>
          <w:fldChar w:fldCharType="end"/>
        </w:r>
      </w:hyperlink>
    </w:p>
    <w:p w14:paraId="5F2DD078" w14:textId="11439F5C" w:rsidR="00B67489" w:rsidRPr="00B67489" w:rsidRDefault="00B67489">
      <w:pPr>
        <w:pStyle w:val="TOC2"/>
        <w:rPr>
          <w:rFonts w:eastAsiaTheme="minorEastAsia" w:cstheme="minorBidi"/>
          <w:b w:val="0"/>
          <w:sz w:val="24"/>
          <w:szCs w:val="24"/>
          <w:lang w:eastAsia="en-AU"/>
        </w:rPr>
      </w:pPr>
      <w:hyperlink w:anchor="_Toc88494286" w:history="1">
        <w:r w:rsidRPr="00B67489">
          <w:rPr>
            <w:rStyle w:val="Hyperlink"/>
            <w:b w:val="0"/>
            <w:sz w:val="24"/>
            <w:szCs w:val="24"/>
          </w:rPr>
          <w:t>4.6</w:t>
        </w:r>
        <w:r w:rsidRPr="00B67489">
          <w:rPr>
            <w:rFonts w:eastAsiaTheme="minorEastAsia" w:cstheme="minorBidi"/>
            <w:b w:val="0"/>
            <w:sz w:val="24"/>
            <w:szCs w:val="24"/>
            <w:lang w:eastAsia="en-AU"/>
          </w:rPr>
          <w:tab/>
        </w:r>
        <w:r w:rsidRPr="00B67489">
          <w:rPr>
            <w:rStyle w:val="Hyperlink"/>
            <w:b w:val="0"/>
            <w:sz w:val="24"/>
            <w:szCs w:val="24"/>
          </w:rPr>
          <w:t>SustainCERT’s end-to-end solution</w:t>
        </w:r>
        <w:r w:rsidRPr="00B67489">
          <w:rPr>
            <w:b w:val="0"/>
            <w:webHidden/>
            <w:sz w:val="24"/>
            <w:szCs w:val="24"/>
          </w:rPr>
          <w:tab/>
        </w:r>
        <w:r w:rsidRPr="00B67489">
          <w:rPr>
            <w:b w:val="0"/>
            <w:webHidden/>
            <w:sz w:val="24"/>
            <w:szCs w:val="24"/>
          </w:rPr>
          <w:fldChar w:fldCharType="begin"/>
        </w:r>
        <w:r w:rsidRPr="00B67489">
          <w:rPr>
            <w:b w:val="0"/>
            <w:webHidden/>
            <w:sz w:val="24"/>
            <w:szCs w:val="24"/>
          </w:rPr>
          <w:instrText xml:space="preserve"> PAGEREF _Toc88494286 \h </w:instrText>
        </w:r>
        <w:r w:rsidRPr="00B67489">
          <w:rPr>
            <w:b w:val="0"/>
            <w:webHidden/>
            <w:sz w:val="24"/>
            <w:szCs w:val="24"/>
          </w:rPr>
        </w:r>
        <w:r w:rsidRPr="00B67489">
          <w:rPr>
            <w:b w:val="0"/>
            <w:webHidden/>
            <w:sz w:val="24"/>
            <w:szCs w:val="24"/>
          </w:rPr>
          <w:fldChar w:fldCharType="separate"/>
        </w:r>
        <w:r w:rsidRPr="00B67489">
          <w:rPr>
            <w:b w:val="0"/>
            <w:webHidden/>
            <w:sz w:val="24"/>
            <w:szCs w:val="24"/>
          </w:rPr>
          <w:t>29</w:t>
        </w:r>
        <w:r w:rsidRPr="00B67489">
          <w:rPr>
            <w:b w:val="0"/>
            <w:webHidden/>
            <w:sz w:val="24"/>
            <w:szCs w:val="24"/>
          </w:rPr>
          <w:fldChar w:fldCharType="end"/>
        </w:r>
      </w:hyperlink>
    </w:p>
    <w:p w14:paraId="7BA36EB8" w14:textId="25B41CAC" w:rsidR="00B67489" w:rsidRPr="00B67489" w:rsidRDefault="00B67489">
      <w:pPr>
        <w:pStyle w:val="TOC3"/>
        <w:rPr>
          <w:rFonts w:eastAsiaTheme="minorEastAsia" w:cstheme="minorBidi"/>
          <w:lang w:eastAsia="en-AU"/>
        </w:rPr>
      </w:pPr>
      <w:hyperlink w:anchor="_Toc88494287" w:history="1">
        <w:r w:rsidRPr="00B67489">
          <w:rPr>
            <w:rStyle w:val="Hyperlink"/>
          </w:rPr>
          <w:t>4.6.1</w:t>
        </w:r>
        <w:r w:rsidRPr="00B67489">
          <w:rPr>
            <w:rFonts w:eastAsiaTheme="minorEastAsia" w:cstheme="minorBidi"/>
            <w:lang w:eastAsia="en-AU"/>
          </w:rPr>
          <w:tab/>
        </w:r>
        <w:r w:rsidRPr="00B67489">
          <w:rPr>
            <w:rStyle w:val="Hyperlink"/>
          </w:rPr>
          <w:t>Digital – Monitoring, Reporting and Verification</w:t>
        </w:r>
        <w:r w:rsidRPr="00B67489">
          <w:rPr>
            <w:webHidden/>
          </w:rPr>
          <w:tab/>
        </w:r>
        <w:r w:rsidRPr="00B67489">
          <w:rPr>
            <w:webHidden/>
          </w:rPr>
          <w:fldChar w:fldCharType="begin"/>
        </w:r>
        <w:r w:rsidRPr="00B67489">
          <w:rPr>
            <w:webHidden/>
          </w:rPr>
          <w:instrText xml:space="preserve"> PAGEREF _Toc88494287 \h </w:instrText>
        </w:r>
        <w:r w:rsidRPr="00B67489">
          <w:rPr>
            <w:webHidden/>
          </w:rPr>
        </w:r>
        <w:r w:rsidRPr="00B67489">
          <w:rPr>
            <w:webHidden/>
          </w:rPr>
          <w:fldChar w:fldCharType="separate"/>
        </w:r>
        <w:r w:rsidRPr="00B67489">
          <w:rPr>
            <w:webHidden/>
          </w:rPr>
          <w:t>30</w:t>
        </w:r>
        <w:r w:rsidRPr="00B67489">
          <w:rPr>
            <w:webHidden/>
          </w:rPr>
          <w:fldChar w:fldCharType="end"/>
        </w:r>
      </w:hyperlink>
    </w:p>
    <w:p w14:paraId="47DB94F6" w14:textId="3C7F4D62" w:rsidR="00B67489" w:rsidRPr="00B67489" w:rsidRDefault="00B67489">
      <w:pPr>
        <w:pStyle w:val="TOC3"/>
        <w:rPr>
          <w:rFonts w:eastAsiaTheme="minorEastAsia" w:cstheme="minorBidi"/>
          <w:lang w:eastAsia="en-AU"/>
        </w:rPr>
      </w:pPr>
      <w:hyperlink w:anchor="_Toc88494288" w:history="1">
        <w:r w:rsidRPr="00B67489">
          <w:rPr>
            <w:rStyle w:val="Hyperlink"/>
          </w:rPr>
          <w:t>4.6.2</w:t>
        </w:r>
        <w:r w:rsidRPr="00B67489">
          <w:rPr>
            <w:rFonts w:eastAsiaTheme="minorEastAsia" w:cstheme="minorBidi"/>
            <w:lang w:eastAsia="en-AU"/>
          </w:rPr>
          <w:tab/>
        </w:r>
        <w:r w:rsidRPr="00B67489">
          <w:rPr>
            <w:rStyle w:val="Hyperlink"/>
          </w:rPr>
          <w:t>Impact Factor Tracking Mechanism</w:t>
        </w:r>
        <w:r w:rsidRPr="00B67489">
          <w:rPr>
            <w:webHidden/>
          </w:rPr>
          <w:tab/>
        </w:r>
        <w:r w:rsidRPr="00B67489">
          <w:rPr>
            <w:webHidden/>
          </w:rPr>
          <w:fldChar w:fldCharType="begin"/>
        </w:r>
        <w:r w:rsidRPr="00B67489">
          <w:rPr>
            <w:webHidden/>
          </w:rPr>
          <w:instrText xml:space="preserve"> PAGEREF _Toc88494288 \h </w:instrText>
        </w:r>
        <w:r w:rsidRPr="00B67489">
          <w:rPr>
            <w:webHidden/>
          </w:rPr>
        </w:r>
        <w:r w:rsidRPr="00B67489">
          <w:rPr>
            <w:webHidden/>
          </w:rPr>
          <w:fldChar w:fldCharType="separate"/>
        </w:r>
        <w:r w:rsidRPr="00B67489">
          <w:rPr>
            <w:webHidden/>
          </w:rPr>
          <w:t>33</w:t>
        </w:r>
        <w:r w:rsidRPr="00B67489">
          <w:rPr>
            <w:webHidden/>
          </w:rPr>
          <w:fldChar w:fldCharType="end"/>
        </w:r>
      </w:hyperlink>
    </w:p>
    <w:p w14:paraId="4DEE6E9E" w14:textId="24FA12D6" w:rsidR="00B67489" w:rsidRPr="00B67489" w:rsidRDefault="00B67489">
      <w:pPr>
        <w:pStyle w:val="TOC3"/>
        <w:rPr>
          <w:rFonts w:eastAsiaTheme="minorEastAsia" w:cstheme="minorBidi"/>
          <w:lang w:eastAsia="en-AU"/>
        </w:rPr>
      </w:pPr>
      <w:hyperlink w:anchor="_Toc88494289" w:history="1">
        <w:r w:rsidRPr="00B67489">
          <w:rPr>
            <w:rStyle w:val="Hyperlink"/>
          </w:rPr>
          <w:t>4.6.3</w:t>
        </w:r>
        <w:r w:rsidRPr="00B67489">
          <w:rPr>
            <w:rFonts w:eastAsiaTheme="minorEastAsia" w:cstheme="minorBidi"/>
            <w:lang w:eastAsia="en-AU"/>
          </w:rPr>
          <w:tab/>
        </w:r>
        <w:r w:rsidRPr="00B67489">
          <w:rPr>
            <w:rStyle w:val="Hyperlink"/>
          </w:rPr>
          <w:t>Australian beef supply chain example</w:t>
        </w:r>
        <w:r w:rsidRPr="00B67489">
          <w:rPr>
            <w:webHidden/>
          </w:rPr>
          <w:tab/>
        </w:r>
        <w:r w:rsidRPr="00B67489">
          <w:rPr>
            <w:webHidden/>
          </w:rPr>
          <w:fldChar w:fldCharType="begin"/>
        </w:r>
        <w:r w:rsidRPr="00B67489">
          <w:rPr>
            <w:webHidden/>
          </w:rPr>
          <w:instrText xml:space="preserve"> PAGEREF _Toc88494289 \h </w:instrText>
        </w:r>
        <w:r w:rsidRPr="00B67489">
          <w:rPr>
            <w:webHidden/>
          </w:rPr>
        </w:r>
        <w:r w:rsidRPr="00B67489">
          <w:rPr>
            <w:webHidden/>
          </w:rPr>
          <w:fldChar w:fldCharType="separate"/>
        </w:r>
        <w:r w:rsidRPr="00B67489">
          <w:rPr>
            <w:webHidden/>
          </w:rPr>
          <w:t>35</w:t>
        </w:r>
        <w:r w:rsidRPr="00B67489">
          <w:rPr>
            <w:webHidden/>
          </w:rPr>
          <w:fldChar w:fldCharType="end"/>
        </w:r>
      </w:hyperlink>
    </w:p>
    <w:p w14:paraId="4F1687A7" w14:textId="2D6EA88E" w:rsidR="00B67489" w:rsidRPr="00B67489" w:rsidRDefault="00B67489">
      <w:pPr>
        <w:pStyle w:val="TOC2"/>
        <w:rPr>
          <w:rFonts w:eastAsiaTheme="minorEastAsia" w:cstheme="minorBidi"/>
          <w:b w:val="0"/>
          <w:sz w:val="24"/>
          <w:szCs w:val="24"/>
          <w:lang w:eastAsia="en-AU"/>
        </w:rPr>
      </w:pPr>
      <w:hyperlink w:anchor="_Toc88494290" w:history="1">
        <w:r w:rsidRPr="00B67489">
          <w:rPr>
            <w:rStyle w:val="Hyperlink"/>
            <w:b w:val="0"/>
            <w:sz w:val="24"/>
            <w:szCs w:val="24"/>
          </w:rPr>
          <w:t>4.7</w:t>
        </w:r>
        <w:r w:rsidRPr="00B67489">
          <w:rPr>
            <w:rFonts w:eastAsiaTheme="minorEastAsia" w:cstheme="minorBidi"/>
            <w:b w:val="0"/>
            <w:sz w:val="24"/>
            <w:szCs w:val="24"/>
            <w:lang w:eastAsia="en-AU"/>
          </w:rPr>
          <w:tab/>
        </w:r>
        <w:r w:rsidRPr="00B67489">
          <w:rPr>
            <w:rStyle w:val="Hyperlink"/>
            <w:b w:val="0"/>
            <w:sz w:val="24"/>
            <w:szCs w:val="24"/>
          </w:rPr>
          <w:t>SustainCERT Platform Global progress report</w:t>
        </w:r>
        <w:r w:rsidRPr="00B67489">
          <w:rPr>
            <w:b w:val="0"/>
            <w:webHidden/>
            <w:sz w:val="24"/>
            <w:szCs w:val="24"/>
          </w:rPr>
          <w:tab/>
        </w:r>
        <w:r w:rsidRPr="00B67489">
          <w:rPr>
            <w:b w:val="0"/>
            <w:webHidden/>
            <w:sz w:val="24"/>
            <w:szCs w:val="24"/>
          </w:rPr>
          <w:fldChar w:fldCharType="begin"/>
        </w:r>
        <w:r w:rsidRPr="00B67489">
          <w:rPr>
            <w:b w:val="0"/>
            <w:webHidden/>
            <w:sz w:val="24"/>
            <w:szCs w:val="24"/>
          </w:rPr>
          <w:instrText xml:space="preserve"> PAGEREF _Toc88494290 \h </w:instrText>
        </w:r>
        <w:r w:rsidRPr="00B67489">
          <w:rPr>
            <w:b w:val="0"/>
            <w:webHidden/>
            <w:sz w:val="24"/>
            <w:szCs w:val="24"/>
          </w:rPr>
        </w:r>
        <w:r w:rsidRPr="00B67489">
          <w:rPr>
            <w:b w:val="0"/>
            <w:webHidden/>
            <w:sz w:val="24"/>
            <w:szCs w:val="24"/>
          </w:rPr>
          <w:fldChar w:fldCharType="separate"/>
        </w:r>
        <w:r w:rsidRPr="00B67489">
          <w:rPr>
            <w:b w:val="0"/>
            <w:webHidden/>
            <w:sz w:val="24"/>
            <w:szCs w:val="24"/>
          </w:rPr>
          <w:t>38</w:t>
        </w:r>
        <w:r w:rsidRPr="00B67489">
          <w:rPr>
            <w:b w:val="0"/>
            <w:webHidden/>
            <w:sz w:val="24"/>
            <w:szCs w:val="24"/>
          </w:rPr>
          <w:fldChar w:fldCharType="end"/>
        </w:r>
      </w:hyperlink>
    </w:p>
    <w:p w14:paraId="2E5EECDB" w14:textId="4F671ED9" w:rsidR="00B67489" w:rsidRPr="00B67489" w:rsidRDefault="00B67489">
      <w:pPr>
        <w:pStyle w:val="TOC2"/>
        <w:rPr>
          <w:rFonts w:eastAsiaTheme="minorEastAsia" w:cstheme="minorBidi"/>
          <w:b w:val="0"/>
          <w:sz w:val="24"/>
          <w:szCs w:val="24"/>
          <w:lang w:eastAsia="en-AU"/>
        </w:rPr>
      </w:pPr>
      <w:hyperlink w:anchor="_Toc88494291" w:history="1">
        <w:r w:rsidRPr="00B67489">
          <w:rPr>
            <w:rStyle w:val="Hyperlink"/>
            <w:b w:val="0"/>
            <w:sz w:val="24"/>
            <w:szCs w:val="24"/>
          </w:rPr>
          <w:t>4.8</w:t>
        </w:r>
        <w:r w:rsidRPr="00B67489">
          <w:rPr>
            <w:rFonts w:eastAsiaTheme="minorEastAsia" w:cstheme="minorBidi"/>
            <w:b w:val="0"/>
            <w:sz w:val="24"/>
            <w:szCs w:val="24"/>
            <w:lang w:eastAsia="en-AU"/>
          </w:rPr>
          <w:tab/>
        </w:r>
        <w:r w:rsidRPr="00B67489">
          <w:rPr>
            <w:rStyle w:val="Hyperlink"/>
            <w:b w:val="0"/>
            <w:sz w:val="24"/>
            <w:szCs w:val="24"/>
          </w:rPr>
          <w:t>Indicative fee structure</w:t>
        </w:r>
        <w:r w:rsidRPr="00B67489">
          <w:rPr>
            <w:b w:val="0"/>
            <w:webHidden/>
            <w:sz w:val="24"/>
            <w:szCs w:val="24"/>
          </w:rPr>
          <w:tab/>
        </w:r>
        <w:r w:rsidRPr="00B67489">
          <w:rPr>
            <w:b w:val="0"/>
            <w:webHidden/>
            <w:sz w:val="24"/>
            <w:szCs w:val="24"/>
          </w:rPr>
          <w:fldChar w:fldCharType="begin"/>
        </w:r>
        <w:r w:rsidRPr="00B67489">
          <w:rPr>
            <w:b w:val="0"/>
            <w:webHidden/>
            <w:sz w:val="24"/>
            <w:szCs w:val="24"/>
          </w:rPr>
          <w:instrText xml:space="preserve"> PAGEREF _Toc88494291 \h </w:instrText>
        </w:r>
        <w:r w:rsidRPr="00B67489">
          <w:rPr>
            <w:b w:val="0"/>
            <w:webHidden/>
            <w:sz w:val="24"/>
            <w:szCs w:val="24"/>
          </w:rPr>
        </w:r>
        <w:r w:rsidRPr="00B67489">
          <w:rPr>
            <w:b w:val="0"/>
            <w:webHidden/>
            <w:sz w:val="24"/>
            <w:szCs w:val="24"/>
          </w:rPr>
          <w:fldChar w:fldCharType="separate"/>
        </w:r>
        <w:r w:rsidRPr="00B67489">
          <w:rPr>
            <w:b w:val="0"/>
            <w:webHidden/>
            <w:sz w:val="24"/>
            <w:szCs w:val="24"/>
          </w:rPr>
          <w:t>41</w:t>
        </w:r>
        <w:r w:rsidRPr="00B67489">
          <w:rPr>
            <w:b w:val="0"/>
            <w:webHidden/>
            <w:sz w:val="24"/>
            <w:szCs w:val="24"/>
          </w:rPr>
          <w:fldChar w:fldCharType="end"/>
        </w:r>
      </w:hyperlink>
    </w:p>
    <w:p w14:paraId="0AB16993" w14:textId="76D3BBBF" w:rsidR="00B67489" w:rsidRPr="00B67489" w:rsidRDefault="00B67489">
      <w:pPr>
        <w:pStyle w:val="TOC2"/>
        <w:rPr>
          <w:rFonts w:eastAsiaTheme="minorEastAsia" w:cstheme="minorBidi"/>
          <w:b w:val="0"/>
          <w:sz w:val="24"/>
          <w:szCs w:val="24"/>
          <w:lang w:eastAsia="en-AU"/>
        </w:rPr>
      </w:pPr>
      <w:hyperlink w:anchor="_Toc88494292" w:history="1">
        <w:r w:rsidRPr="00B67489">
          <w:rPr>
            <w:rStyle w:val="Hyperlink"/>
            <w:b w:val="0"/>
            <w:sz w:val="24"/>
            <w:szCs w:val="24"/>
          </w:rPr>
          <w:t>4.9</w:t>
        </w:r>
        <w:r w:rsidRPr="00B67489">
          <w:rPr>
            <w:rFonts w:eastAsiaTheme="minorEastAsia" w:cstheme="minorBidi"/>
            <w:b w:val="0"/>
            <w:sz w:val="24"/>
            <w:szCs w:val="24"/>
            <w:lang w:eastAsia="en-AU"/>
          </w:rPr>
          <w:tab/>
        </w:r>
        <w:r w:rsidRPr="00B67489">
          <w:rPr>
            <w:rStyle w:val="Hyperlink"/>
            <w:b w:val="0"/>
            <w:sz w:val="24"/>
            <w:szCs w:val="24"/>
          </w:rPr>
          <w:t>Stakeholder partnership program</w:t>
        </w:r>
        <w:r w:rsidRPr="00B67489">
          <w:rPr>
            <w:b w:val="0"/>
            <w:webHidden/>
            <w:sz w:val="24"/>
            <w:szCs w:val="24"/>
          </w:rPr>
          <w:tab/>
        </w:r>
        <w:r w:rsidRPr="00B67489">
          <w:rPr>
            <w:b w:val="0"/>
            <w:webHidden/>
            <w:sz w:val="24"/>
            <w:szCs w:val="24"/>
          </w:rPr>
          <w:fldChar w:fldCharType="begin"/>
        </w:r>
        <w:r w:rsidRPr="00B67489">
          <w:rPr>
            <w:b w:val="0"/>
            <w:webHidden/>
            <w:sz w:val="24"/>
            <w:szCs w:val="24"/>
          </w:rPr>
          <w:instrText xml:space="preserve"> PAGEREF _Toc88494292 \h </w:instrText>
        </w:r>
        <w:r w:rsidRPr="00B67489">
          <w:rPr>
            <w:b w:val="0"/>
            <w:webHidden/>
            <w:sz w:val="24"/>
            <w:szCs w:val="24"/>
          </w:rPr>
        </w:r>
        <w:r w:rsidRPr="00B67489">
          <w:rPr>
            <w:b w:val="0"/>
            <w:webHidden/>
            <w:sz w:val="24"/>
            <w:szCs w:val="24"/>
          </w:rPr>
          <w:fldChar w:fldCharType="separate"/>
        </w:r>
        <w:r w:rsidRPr="00B67489">
          <w:rPr>
            <w:b w:val="0"/>
            <w:webHidden/>
            <w:sz w:val="24"/>
            <w:szCs w:val="24"/>
          </w:rPr>
          <w:t>42</w:t>
        </w:r>
        <w:r w:rsidRPr="00B67489">
          <w:rPr>
            <w:b w:val="0"/>
            <w:webHidden/>
            <w:sz w:val="24"/>
            <w:szCs w:val="24"/>
          </w:rPr>
          <w:fldChar w:fldCharType="end"/>
        </w:r>
      </w:hyperlink>
    </w:p>
    <w:p w14:paraId="532BE1FA" w14:textId="71572F1F" w:rsidR="00B67489" w:rsidRPr="00B67489" w:rsidRDefault="00B67489">
      <w:pPr>
        <w:pStyle w:val="TOC3"/>
        <w:rPr>
          <w:rFonts w:eastAsiaTheme="minorEastAsia" w:cstheme="minorBidi"/>
          <w:lang w:eastAsia="en-AU"/>
        </w:rPr>
      </w:pPr>
      <w:hyperlink w:anchor="_Toc88494293" w:history="1">
        <w:r w:rsidRPr="00B67489">
          <w:rPr>
            <w:rStyle w:val="Hyperlink"/>
          </w:rPr>
          <w:t>4.9.1</w:t>
        </w:r>
        <w:r w:rsidRPr="00B67489">
          <w:rPr>
            <w:rFonts w:eastAsiaTheme="minorEastAsia" w:cstheme="minorBidi"/>
            <w:lang w:eastAsia="en-AU"/>
          </w:rPr>
          <w:tab/>
        </w:r>
        <w:r w:rsidRPr="00B67489">
          <w:rPr>
            <w:rStyle w:val="Hyperlink"/>
          </w:rPr>
          <w:t>Building toward a sector-wide, end-to-end Emissions Reporting system for beef in Australia in line with global standards</w:t>
        </w:r>
        <w:r w:rsidRPr="00B67489">
          <w:rPr>
            <w:webHidden/>
          </w:rPr>
          <w:tab/>
        </w:r>
        <w:r w:rsidRPr="00B67489">
          <w:rPr>
            <w:webHidden/>
          </w:rPr>
          <w:fldChar w:fldCharType="begin"/>
        </w:r>
        <w:r w:rsidRPr="00B67489">
          <w:rPr>
            <w:webHidden/>
          </w:rPr>
          <w:instrText xml:space="preserve"> PAGEREF _Toc88494293 \h </w:instrText>
        </w:r>
        <w:r w:rsidRPr="00B67489">
          <w:rPr>
            <w:webHidden/>
          </w:rPr>
        </w:r>
        <w:r w:rsidRPr="00B67489">
          <w:rPr>
            <w:webHidden/>
          </w:rPr>
          <w:fldChar w:fldCharType="separate"/>
        </w:r>
        <w:r w:rsidRPr="00B67489">
          <w:rPr>
            <w:webHidden/>
          </w:rPr>
          <w:t>42</w:t>
        </w:r>
        <w:r w:rsidRPr="00B67489">
          <w:rPr>
            <w:webHidden/>
          </w:rPr>
          <w:fldChar w:fldCharType="end"/>
        </w:r>
      </w:hyperlink>
    </w:p>
    <w:p w14:paraId="558908CA" w14:textId="11F50DE4" w:rsidR="00B67489" w:rsidRPr="00B67489" w:rsidRDefault="00B67489">
      <w:pPr>
        <w:pStyle w:val="TOC1"/>
        <w:rPr>
          <w:rFonts w:eastAsiaTheme="minorEastAsia" w:cstheme="minorBidi"/>
          <w:b w:val="0"/>
          <w:sz w:val="24"/>
          <w:szCs w:val="24"/>
          <w:lang w:eastAsia="en-AU"/>
        </w:rPr>
      </w:pPr>
      <w:hyperlink w:anchor="_Toc88494294" w:history="1">
        <w:r w:rsidRPr="00B67489">
          <w:rPr>
            <w:rStyle w:val="Hyperlink"/>
            <w:b w:val="0"/>
            <w:sz w:val="24"/>
            <w:szCs w:val="24"/>
          </w:rPr>
          <w:t>5.</w:t>
        </w:r>
        <w:r w:rsidRPr="00B67489">
          <w:rPr>
            <w:rFonts w:eastAsiaTheme="minorEastAsia" w:cstheme="minorBidi"/>
            <w:b w:val="0"/>
            <w:sz w:val="24"/>
            <w:szCs w:val="24"/>
            <w:lang w:eastAsia="en-AU"/>
          </w:rPr>
          <w:tab/>
        </w:r>
        <w:r w:rsidRPr="00B67489">
          <w:rPr>
            <w:rStyle w:val="Hyperlink"/>
            <w:b w:val="0"/>
            <w:sz w:val="24"/>
            <w:szCs w:val="24"/>
          </w:rPr>
          <w:t>Conclusion</w:t>
        </w:r>
        <w:r w:rsidRPr="00B67489">
          <w:rPr>
            <w:b w:val="0"/>
            <w:webHidden/>
            <w:sz w:val="24"/>
            <w:szCs w:val="24"/>
          </w:rPr>
          <w:tab/>
        </w:r>
        <w:r w:rsidRPr="00B67489">
          <w:rPr>
            <w:b w:val="0"/>
            <w:webHidden/>
            <w:sz w:val="24"/>
            <w:szCs w:val="24"/>
          </w:rPr>
          <w:fldChar w:fldCharType="begin"/>
        </w:r>
        <w:r w:rsidRPr="00B67489">
          <w:rPr>
            <w:b w:val="0"/>
            <w:webHidden/>
            <w:sz w:val="24"/>
            <w:szCs w:val="24"/>
          </w:rPr>
          <w:instrText xml:space="preserve"> PAGEREF _Toc88494294 \h </w:instrText>
        </w:r>
        <w:r w:rsidRPr="00B67489">
          <w:rPr>
            <w:b w:val="0"/>
            <w:webHidden/>
            <w:sz w:val="24"/>
            <w:szCs w:val="24"/>
          </w:rPr>
        </w:r>
        <w:r w:rsidRPr="00B67489">
          <w:rPr>
            <w:b w:val="0"/>
            <w:webHidden/>
            <w:sz w:val="24"/>
            <w:szCs w:val="24"/>
          </w:rPr>
          <w:fldChar w:fldCharType="separate"/>
        </w:r>
        <w:r w:rsidRPr="00B67489">
          <w:rPr>
            <w:b w:val="0"/>
            <w:webHidden/>
            <w:sz w:val="24"/>
            <w:szCs w:val="24"/>
          </w:rPr>
          <w:t>46</w:t>
        </w:r>
        <w:r w:rsidRPr="00B67489">
          <w:rPr>
            <w:b w:val="0"/>
            <w:webHidden/>
            <w:sz w:val="24"/>
            <w:szCs w:val="24"/>
          </w:rPr>
          <w:fldChar w:fldCharType="end"/>
        </w:r>
      </w:hyperlink>
    </w:p>
    <w:p w14:paraId="0523067A" w14:textId="51590167" w:rsidR="00B67489" w:rsidRPr="00B67489" w:rsidRDefault="00B67489">
      <w:pPr>
        <w:pStyle w:val="TOC2"/>
        <w:rPr>
          <w:rFonts w:eastAsiaTheme="minorEastAsia" w:cstheme="minorBidi"/>
          <w:b w:val="0"/>
          <w:sz w:val="24"/>
          <w:szCs w:val="24"/>
          <w:lang w:eastAsia="en-AU"/>
        </w:rPr>
      </w:pPr>
      <w:hyperlink w:anchor="_Toc88494295" w:history="1">
        <w:r w:rsidRPr="00B67489">
          <w:rPr>
            <w:rStyle w:val="Hyperlink"/>
            <w:b w:val="0"/>
            <w:sz w:val="24"/>
            <w:szCs w:val="24"/>
          </w:rPr>
          <w:t>5.1</w:t>
        </w:r>
        <w:r w:rsidRPr="00B67489">
          <w:rPr>
            <w:rFonts w:eastAsiaTheme="minorEastAsia" w:cstheme="minorBidi"/>
            <w:b w:val="0"/>
            <w:sz w:val="24"/>
            <w:szCs w:val="24"/>
            <w:lang w:eastAsia="en-AU"/>
          </w:rPr>
          <w:tab/>
        </w:r>
        <w:r w:rsidRPr="00B67489">
          <w:rPr>
            <w:rStyle w:val="Hyperlink"/>
            <w:b w:val="0"/>
            <w:sz w:val="24"/>
            <w:szCs w:val="24"/>
          </w:rPr>
          <w:t>Key findings</w:t>
        </w:r>
        <w:r w:rsidRPr="00B67489">
          <w:rPr>
            <w:b w:val="0"/>
            <w:webHidden/>
            <w:sz w:val="24"/>
            <w:szCs w:val="24"/>
          </w:rPr>
          <w:tab/>
        </w:r>
        <w:r w:rsidRPr="00B67489">
          <w:rPr>
            <w:b w:val="0"/>
            <w:webHidden/>
            <w:sz w:val="24"/>
            <w:szCs w:val="24"/>
          </w:rPr>
          <w:fldChar w:fldCharType="begin"/>
        </w:r>
        <w:r w:rsidRPr="00B67489">
          <w:rPr>
            <w:b w:val="0"/>
            <w:webHidden/>
            <w:sz w:val="24"/>
            <w:szCs w:val="24"/>
          </w:rPr>
          <w:instrText xml:space="preserve"> PAGEREF _Toc88494295 \h </w:instrText>
        </w:r>
        <w:r w:rsidRPr="00B67489">
          <w:rPr>
            <w:b w:val="0"/>
            <w:webHidden/>
            <w:sz w:val="24"/>
            <w:szCs w:val="24"/>
          </w:rPr>
        </w:r>
        <w:r w:rsidRPr="00B67489">
          <w:rPr>
            <w:b w:val="0"/>
            <w:webHidden/>
            <w:sz w:val="24"/>
            <w:szCs w:val="24"/>
          </w:rPr>
          <w:fldChar w:fldCharType="separate"/>
        </w:r>
        <w:r w:rsidRPr="00B67489">
          <w:rPr>
            <w:b w:val="0"/>
            <w:webHidden/>
            <w:sz w:val="24"/>
            <w:szCs w:val="24"/>
          </w:rPr>
          <w:t>46</w:t>
        </w:r>
        <w:r w:rsidRPr="00B67489">
          <w:rPr>
            <w:b w:val="0"/>
            <w:webHidden/>
            <w:sz w:val="24"/>
            <w:szCs w:val="24"/>
          </w:rPr>
          <w:fldChar w:fldCharType="end"/>
        </w:r>
      </w:hyperlink>
    </w:p>
    <w:p w14:paraId="2BBC28AC" w14:textId="5C564F92" w:rsidR="00B67489" w:rsidRPr="00B67489" w:rsidRDefault="00B67489">
      <w:pPr>
        <w:pStyle w:val="TOC2"/>
        <w:rPr>
          <w:rFonts w:eastAsiaTheme="minorEastAsia" w:cstheme="minorBidi"/>
          <w:b w:val="0"/>
          <w:sz w:val="24"/>
          <w:szCs w:val="24"/>
          <w:lang w:eastAsia="en-AU"/>
        </w:rPr>
      </w:pPr>
      <w:hyperlink w:anchor="_Toc88494296" w:history="1">
        <w:r w:rsidRPr="00B67489">
          <w:rPr>
            <w:rStyle w:val="Hyperlink"/>
            <w:b w:val="0"/>
            <w:sz w:val="24"/>
            <w:szCs w:val="24"/>
          </w:rPr>
          <w:t>5.2</w:t>
        </w:r>
        <w:r w:rsidRPr="00B67489">
          <w:rPr>
            <w:rFonts w:eastAsiaTheme="minorEastAsia" w:cstheme="minorBidi"/>
            <w:b w:val="0"/>
            <w:sz w:val="24"/>
            <w:szCs w:val="24"/>
            <w:lang w:eastAsia="en-AU"/>
          </w:rPr>
          <w:tab/>
        </w:r>
        <w:r w:rsidRPr="00B67489">
          <w:rPr>
            <w:rStyle w:val="Hyperlink"/>
            <w:b w:val="0"/>
            <w:sz w:val="24"/>
            <w:szCs w:val="24"/>
          </w:rPr>
          <w:t>Benefits to industry</w:t>
        </w:r>
        <w:r w:rsidRPr="00B67489">
          <w:rPr>
            <w:b w:val="0"/>
            <w:webHidden/>
            <w:sz w:val="24"/>
            <w:szCs w:val="24"/>
          </w:rPr>
          <w:tab/>
        </w:r>
        <w:r w:rsidRPr="00B67489">
          <w:rPr>
            <w:b w:val="0"/>
            <w:webHidden/>
            <w:sz w:val="24"/>
            <w:szCs w:val="24"/>
          </w:rPr>
          <w:fldChar w:fldCharType="begin"/>
        </w:r>
        <w:r w:rsidRPr="00B67489">
          <w:rPr>
            <w:b w:val="0"/>
            <w:webHidden/>
            <w:sz w:val="24"/>
            <w:szCs w:val="24"/>
          </w:rPr>
          <w:instrText xml:space="preserve"> PAGEREF _Toc88494296 \h </w:instrText>
        </w:r>
        <w:r w:rsidRPr="00B67489">
          <w:rPr>
            <w:b w:val="0"/>
            <w:webHidden/>
            <w:sz w:val="24"/>
            <w:szCs w:val="24"/>
          </w:rPr>
        </w:r>
        <w:r w:rsidRPr="00B67489">
          <w:rPr>
            <w:b w:val="0"/>
            <w:webHidden/>
            <w:sz w:val="24"/>
            <w:szCs w:val="24"/>
          </w:rPr>
          <w:fldChar w:fldCharType="separate"/>
        </w:r>
        <w:r w:rsidRPr="00B67489">
          <w:rPr>
            <w:b w:val="0"/>
            <w:webHidden/>
            <w:sz w:val="24"/>
            <w:szCs w:val="24"/>
          </w:rPr>
          <w:t>46</w:t>
        </w:r>
        <w:r w:rsidRPr="00B67489">
          <w:rPr>
            <w:b w:val="0"/>
            <w:webHidden/>
            <w:sz w:val="24"/>
            <w:szCs w:val="24"/>
          </w:rPr>
          <w:fldChar w:fldCharType="end"/>
        </w:r>
      </w:hyperlink>
    </w:p>
    <w:p w14:paraId="6C712AB8" w14:textId="26DF701A" w:rsidR="00B67489" w:rsidRPr="00B67489" w:rsidRDefault="00B67489">
      <w:pPr>
        <w:pStyle w:val="TOC1"/>
        <w:rPr>
          <w:rFonts w:eastAsiaTheme="minorEastAsia" w:cstheme="minorBidi"/>
          <w:b w:val="0"/>
          <w:sz w:val="24"/>
          <w:szCs w:val="24"/>
          <w:lang w:eastAsia="en-AU"/>
        </w:rPr>
      </w:pPr>
      <w:hyperlink w:anchor="_Toc88494297" w:history="1">
        <w:r w:rsidRPr="00B67489">
          <w:rPr>
            <w:rStyle w:val="Hyperlink"/>
            <w:b w:val="0"/>
            <w:sz w:val="24"/>
            <w:szCs w:val="24"/>
          </w:rPr>
          <w:t>6.</w:t>
        </w:r>
        <w:r w:rsidRPr="00B67489">
          <w:rPr>
            <w:rFonts w:eastAsiaTheme="minorEastAsia" w:cstheme="minorBidi"/>
            <w:b w:val="0"/>
            <w:sz w:val="24"/>
            <w:szCs w:val="24"/>
            <w:lang w:eastAsia="en-AU"/>
          </w:rPr>
          <w:tab/>
        </w:r>
        <w:r w:rsidRPr="00B67489">
          <w:rPr>
            <w:rStyle w:val="Hyperlink"/>
            <w:b w:val="0"/>
            <w:sz w:val="24"/>
            <w:szCs w:val="24"/>
          </w:rPr>
          <w:t>Future research and recommendations</w:t>
        </w:r>
        <w:r w:rsidRPr="00B67489">
          <w:rPr>
            <w:b w:val="0"/>
            <w:webHidden/>
            <w:sz w:val="24"/>
            <w:szCs w:val="24"/>
          </w:rPr>
          <w:tab/>
        </w:r>
        <w:r w:rsidRPr="00B67489">
          <w:rPr>
            <w:b w:val="0"/>
            <w:webHidden/>
            <w:sz w:val="24"/>
            <w:szCs w:val="24"/>
          </w:rPr>
          <w:fldChar w:fldCharType="begin"/>
        </w:r>
        <w:r w:rsidRPr="00B67489">
          <w:rPr>
            <w:b w:val="0"/>
            <w:webHidden/>
            <w:sz w:val="24"/>
            <w:szCs w:val="24"/>
          </w:rPr>
          <w:instrText xml:space="preserve"> PAGEREF _Toc88494297 \h </w:instrText>
        </w:r>
        <w:r w:rsidRPr="00B67489">
          <w:rPr>
            <w:b w:val="0"/>
            <w:webHidden/>
            <w:sz w:val="24"/>
            <w:szCs w:val="24"/>
          </w:rPr>
        </w:r>
        <w:r w:rsidRPr="00B67489">
          <w:rPr>
            <w:b w:val="0"/>
            <w:webHidden/>
            <w:sz w:val="24"/>
            <w:szCs w:val="24"/>
          </w:rPr>
          <w:fldChar w:fldCharType="separate"/>
        </w:r>
        <w:r w:rsidRPr="00B67489">
          <w:rPr>
            <w:b w:val="0"/>
            <w:webHidden/>
            <w:sz w:val="24"/>
            <w:szCs w:val="24"/>
          </w:rPr>
          <w:t>47</w:t>
        </w:r>
        <w:r w:rsidRPr="00B67489">
          <w:rPr>
            <w:b w:val="0"/>
            <w:webHidden/>
            <w:sz w:val="24"/>
            <w:szCs w:val="24"/>
          </w:rPr>
          <w:fldChar w:fldCharType="end"/>
        </w:r>
      </w:hyperlink>
    </w:p>
    <w:p w14:paraId="4C80C5AF" w14:textId="1476889B" w:rsidR="00B67489" w:rsidRPr="00B67489" w:rsidRDefault="00B67489">
      <w:pPr>
        <w:pStyle w:val="TOC1"/>
        <w:rPr>
          <w:rFonts w:eastAsiaTheme="minorEastAsia" w:cstheme="minorBidi"/>
          <w:b w:val="0"/>
          <w:sz w:val="24"/>
          <w:szCs w:val="24"/>
          <w:lang w:eastAsia="en-AU"/>
        </w:rPr>
      </w:pPr>
      <w:hyperlink w:anchor="_Toc88494298" w:history="1">
        <w:r w:rsidRPr="00B67489">
          <w:rPr>
            <w:rStyle w:val="Hyperlink"/>
            <w:b w:val="0"/>
            <w:sz w:val="24"/>
            <w:szCs w:val="24"/>
          </w:rPr>
          <w:t>7.</w:t>
        </w:r>
        <w:r w:rsidRPr="00B67489">
          <w:rPr>
            <w:rFonts w:eastAsiaTheme="minorEastAsia" w:cstheme="minorBidi"/>
            <w:b w:val="0"/>
            <w:sz w:val="24"/>
            <w:szCs w:val="24"/>
            <w:lang w:eastAsia="en-AU"/>
          </w:rPr>
          <w:tab/>
        </w:r>
        <w:r w:rsidRPr="00B67489">
          <w:rPr>
            <w:rStyle w:val="Hyperlink"/>
            <w:b w:val="0"/>
            <w:sz w:val="24"/>
            <w:szCs w:val="24"/>
          </w:rPr>
          <w:t>References</w:t>
        </w:r>
        <w:r w:rsidRPr="00B67489">
          <w:rPr>
            <w:b w:val="0"/>
            <w:webHidden/>
            <w:sz w:val="24"/>
            <w:szCs w:val="24"/>
          </w:rPr>
          <w:tab/>
        </w:r>
        <w:r w:rsidRPr="00B67489">
          <w:rPr>
            <w:b w:val="0"/>
            <w:webHidden/>
            <w:sz w:val="24"/>
            <w:szCs w:val="24"/>
          </w:rPr>
          <w:fldChar w:fldCharType="begin"/>
        </w:r>
        <w:r w:rsidRPr="00B67489">
          <w:rPr>
            <w:b w:val="0"/>
            <w:webHidden/>
            <w:sz w:val="24"/>
            <w:szCs w:val="24"/>
          </w:rPr>
          <w:instrText xml:space="preserve"> PAGEREF _Toc88494298 \h </w:instrText>
        </w:r>
        <w:r w:rsidRPr="00B67489">
          <w:rPr>
            <w:b w:val="0"/>
            <w:webHidden/>
            <w:sz w:val="24"/>
            <w:szCs w:val="24"/>
          </w:rPr>
        </w:r>
        <w:r w:rsidRPr="00B67489">
          <w:rPr>
            <w:b w:val="0"/>
            <w:webHidden/>
            <w:sz w:val="24"/>
            <w:szCs w:val="24"/>
          </w:rPr>
          <w:fldChar w:fldCharType="separate"/>
        </w:r>
        <w:r w:rsidRPr="00B67489">
          <w:rPr>
            <w:b w:val="0"/>
            <w:webHidden/>
            <w:sz w:val="24"/>
            <w:szCs w:val="24"/>
          </w:rPr>
          <w:t>49</w:t>
        </w:r>
        <w:r w:rsidRPr="00B67489">
          <w:rPr>
            <w:b w:val="0"/>
            <w:webHidden/>
            <w:sz w:val="24"/>
            <w:szCs w:val="24"/>
          </w:rPr>
          <w:fldChar w:fldCharType="end"/>
        </w:r>
      </w:hyperlink>
    </w:p>
    <w:p w14:paraId="032CB9B2" w14:textId="2A23A8F5" w:rsidR="00B67489" w:rsidRPr="00B67489" w:rsidRDefault="00B67489">
      <w:pPr>
        <w:pStyle w:val="TOC1"/>
        <w:rPr>
          <w:rFonts w:eastAsiaTheme="minorEastAsia" w:cstheme="minorBidi"/>
          <w:b w:val="0"/>
          <w:sz w:val="24"/>
          <w:szCs w:val="24"/>
          <w:lang w:eastAsia="en-AU"/>
        </w:rPr>
      </w:pPr>
      <w:hyperlink w:anchor="_Toc88494299" w:history="1">
        <w:r w:rsidRPr="00B67489">
          <w:rPr>
            <w:rStyle w:val="Hyperlink"/>
            <w:b w:val="0"/>
            <w:sz w:val="24"/>
            <w:szCs w:val="24"/>
          </w:rPr>
          <w:t>8.</w:t>
        </w:r>
        <w:r w:rsidRPr="00B67489">
          <w:rPr>
            <w:rFonts w:eastAsiaTheme="minorEastAsia" w:cstheme="minorBidi"/>
            <w:b w:val="0"/>
            <w:sz w:val="24"/>
            <w:szCs w:val="24"/>
            <w:lang w:eastAsia="en-AU"/>
          </w:rPr>
          <w:tab/>
        </w:r>
        <w:r w:rsidRPr="00B67489">
          <w:rPr>
            <w:rStyle w:val="Hyperlink"/>
            <w:b w:val="0"/>
            <w:sz w:val="24"/>
            <w:szCs w:val="24"/>
          </w:rPr>
          <w:t>Appendix</w:t>
        </w:r>
        <w:r w:rsidRPr="00B67489">
          <w:rPr>
            <w:b w:val="0"/>
            <w:webHidden/>
            <w:sz w:val="24"/>
            <w:szCs w:val="24"/>
          </w:rPr>
          <w:tab/>
        </w:r>
        <w:r w:rsidRPr="00B67489">
          <w:rPr>
            <w:b w:val="0"/>
            <w:webHidden/>
            <w:sz w:val="24"/>
            <w:szCs w:val="24"/>
          </w:rPr>
          <w:fldChar w:fldCharType="begin"/>
        </w:r>
        <w:r w:rsidRPr="00B67489">
          <w:rPr>
            <w:b w:val="0"/>
            <w:webHidden/>
            <w:sz w:val="24"/>
            <w:szCs w:val="24"/>
          </w:rPr>
          <w:instrText xml:space="preserve"> PAGEREF _Toc88494299 \h </w:instrText>
        </w:r>
        <w:r w:rsidRPr="00B67489">
          <w:rPr>
            <w:b w:val="0"/>
            <w:webHidden/>
            <w:sz w:val="24"/>
            <w:szCs w:val="24"/>
          </w:rPr>
        </w:r>
        <w:r w:rsidRPr="00B67489">
          <w:rPr>
            <w:b w:val="0"/>
            <w:webHidden/>
            <w:sz w:val="24"/>
            <w:szCs w:val="24"/>
          </w:rPr>
          <w:fldChar w:fldCharType="separate"/>
        </w:r>
        <w:r w:rsidRPr="00B67489">
          <w:rPr>
            <w:b w:val="0"/>
            <w:webHidden/>
            <w:sz w:val="24"/>
            <w:szCs w:val="24"/>
          </w:rPr>
          <w:t>52</w:t>
        </w:r>
        <w:r w:rsidRPr="00B67489">
          <w:rPr>
            <w:b w:val="0"/>
            <w:webHidden/>
            <w:sz w:val="24"/>
            <w:szCs w:val="24"/>
          </w:rPr>
          <w:fldChar w:fldCharType="end"/>
        </w:r>
      </w:hyperlink>
    </w:p>
    <w:p w14:paraId="65DCA373" w14:textId="2F57ED89" w:rsidR="00B67489" w:rsidRPr="00B67489" w:rsidRDefault="00B67489">
      <w:pPr>
        <w:pStyle w:val="TOC2"/>
        <w:rPr>
          <w:rFonts w:eastAsiaTheme="minorEastAsia" w:cstheme="minorBidi"/>
          <w:b w:val="0"/>
          <w:sz w:val="24"/>
          <w:szCs w:val="24"/>
          <w:lang w:eastAsia="en-AU"/>
        </w:rPr>
      </w:pPr>
      <w:hyperlink w:anchor="_Toc88494300" w:history="1">
        <w:r w:rsidRPr="00B67489">
          <w:rPr>
            <w:rStyle w:val="Hyperlink"/>
            <w:b w:val="0"/>
            <w:sz w:val="24"/>
            <w:szCs w:val="24"/>
          </w:rPr>
          <w:t>8.1</w:t>
        </w:r>
        <w:r w:rsidRPr="00B67489">
          <w:rPr>
            <w:rFonts w:eastAsiaTheme="minorEastAsia" w:cstheme="minorBidi"/>
            <w:b w:val="0"/>
            <w:sz w:val="24"/>
            <w:szCs w:val="24"/>
            <w:lang w:eastAsia="en-AU"/>
          </w:rPr>
          <w:tab/>
        </w:r>
        <w:r w:rsidRPr="00B67489">
          <w:rPr>
            <w:rStyle w:val="Hyperlink"/>
            <w:b w:val="0"/>
            <w:sz w:val="24"/>
            <w:szCs w:val="24"/>
          </w:rPr>
          <w:t>Walk through the SustainCERT Platform</w:t>
        </w:r>
        <w:r w:rsidRPr="00B67489">
          <w:rPr>
            <w:b w:val="0"/>
            <w:webHidden/>
            <w:sz w:val="24"/>
            <w:szCs w:val="24"/>
          </w:rPr>
          <w:tab/>
        </w:r>
        <w:r w:rsidRPr="00B67489">
          <w:rPr>
            <w:b w:val="0"/>
            <w:webHidden/>
            <w:sz w:val="24"/>
            <w:szCs w:val="24"/>
          </w:rPr>
          <w:fldChar w:fldCharType="begin"/>
        </w:r>
        <w:r w:rsidRPr="00B67489">
          <w:rPr>
            <w:b w:val="0"/>
            <w:webHidden/>
            <w:sz w:val="24"/>
            <w:szCs w:val="24"/>
          </w:rPr>
          <w:instrText xml:space="preserve"> PAGEREF _Toc88494300 \h </w:instrText>
        </w:r>
        <w:r w:rsidRPr="00B67489">
          <w:rPr>
            <w:b w:val="0"/>
            <w:webHidden/>
            <w:sz w:val="24"/>
            <w:szCs w:val="24"/>
          </w:rPr>
        </w:r>
        <w:r w:rsidRPr="00B67489">
          <w:rPr>
            <w:b w:val="0"/>
            <w:webHidden/>
            <w:sz w:val="24"/>
            <w:szCs w:val="24"/>
          </w:rPr>
          <w:fldChar w:fldCharType="separate"/>
        </w:r>
        <w:r w:rsidRPr="00B67489">
          <w:rPr>
            <w:b w:val="0"/>
            <w:webHidden/>
            <w:sz w:val="24"/>
            <w:szCs w:val="24"/>
          </w:rPr>
          <w:t>52</w:t>
        </w:r>
        <w:r w:rsidRPr="00B67489">
          <w:rPr>
            <w:b w:val="0"/>
            <w:webHidden/>
            <w:sz w:val="24"/>
            <w:szCs w:val="24"/>
          </w:rPr>
          <w:fldChar w:fldCharType="end"/>
        </w:r>
      </w:hyperlink>
    </w:p>
    <w:p w14:paraId="42669794" w14:textId="52C6A80C" w:rsidR="00F60C84" w:rsidRPr="004511F6" w:rsidRDefault="00F60C84" w:rsidP="002D68E5">
      <w:pPr>
        <w:rPr>
          <w:rFonts w:cs="Arial"/>
          <w:sz w:val="24"/>
          <w:szCs w:val="24"/>
        </w:rPr>
      </w:pPr>
      <w:r w:rsidRPr="00B67489">
        <w:rPr>
          <w:rFonts w:cs="Arial"/>
          <w:sz w:val="24"/>
          <w:szCs w:val="24"/>
        </w:rPr>
        <w:fldChar w:fldCharType="end"/>
      </w:r>
    </w:p>
    <w:p w14:paraId="74D1D1AB" w14:textId="77777777" w:rsidR="00F60C84" w:rsidRPr="004511F6" w:rsidRDefault="00F60C84" w:rsidP="002D68E5">
      <w:pPr>
        <w:rPr>
          <w:rFonts w:cs="Arial"/>
          <w:sz w:val="24"/>
          <w:szCs w:val="24"/>
        </w:rPr>
      </w:pPr>
      <w:r w:rsidRPr="004511F6">
        <w:rPr>
          <w:rFonts w:cs="Arial"/>
          <w:sz w:val="24"/>
          <w:szCs w:val="24"/>
        </w:rPr>
        <w:br w:type="page"/>
      </w:r>
    </w:p>
    <w:p w14:paraId="67747FBE" w14:textId="77777777" w:rsidR="00B04554" w:rsidRPr="00B04554" w:rsidRDefault="00B04554" w:rsidP="00B04554">
      <w:pPr>
        <w:pStyle w:val="Heading1"/>
        <w:keepLines w:val="0"/>
        <w:numPr>
          <w:ilvl w:val="0"/>
          <w:numId w:val="12"/>
        </w:numPr>
        <w:spacing w:after="240" w:line="240" w:lineRule="auto"/>
        <w:jc w:val="both"/>
        <w:rPr>
          <w:rFonts w:asciiTheme="minorHAnsi" w:hAnsiTheme="minorHAnsi" w:cstheme="minorHAnsi"/>
        </w:rPr>
      </w:pPr>
      <w:bookmarkStart w:id="31" w:name="_Toc45719009"/>
      <w:bookmarkStart w:id="32" w:name="_Toc88494270"/>
      <w:r w:rsidRPr="00B04554">
        <w:rPr>
          <w:rFonts w:asciiTheme="minorHAnsi" w:hAnsiTheme="minorHAnsi" w:cstheme="minorHAnsi"/>
        </w:rPr>
        <w:lastRenderedPageBreak/>
        <w:t>Background</w:t>
      </w:r>
      <w:bookmarkEnd w:id="31"/>
      <w:bookmarkEnd w:id="32"/>
    </w:p>
    <w:p w14:paraId="164AC725" w14:textId="4385E1AD" w:rsidR="00D303EB" w:rsidRPr="00D303EB" w:rsidRDefault="00D303EB" w:rsidP="00E11386">
      <w:pPr>
        <w:pStyle w:val="Heading2"/>
      </w:pPr>
      <w:bookmarkStart w:id="33" w:name="_Toc45719010"/>
      <w:bookmarkStart w:id="34" w:name="_Toc88494271"/>
      <w:r>
        <w:t xml:space="preserve">Project alignment with the </w:t>
      </w:r>
      <w:r w:rsidRPr="00B04554">
        <w:t>industry</w:t>
      </w:r>
      <w:r>
        <w:t xml:space="preserve"> roadmap</w:t>
      </w:r>
      <w:bookmarkEnd w:id="33"/>
      <w:bookmarkEnd w:id="34"/>
    </w:p>
    <w:p w14:paraId="07B6FCE3" w14:textId="70E72121" w:rsidR="00383300" w:rsidRPr="00383300" w:rsidRDefault="00383300" w:rsidP="004C56C4">
      <w:r w:rsidRPr="00383300">
        <w:t xml:space="preserve">The Australian Red Meat industry has set an ambitious target to be carbon neutral by 2030 (CN30). Emissions sources from the </w:t>
      </w:r>
      <w:r w:rsidRPr="00E018EB">
        <w:t>Australian</w:t>
      </w:r>
      <w:r w:rsidRPr="00383300">
        <w:t xml:space="preserve"> red meat industry includes cattle, sheep, and goats. Emissions from waste management, fertiliser use, land management practices, and energy use including transport are considered in the roadmap. A carbon neutral position is described in the context of zero net emissions on an annual basis and removals and avoidance of emissions coming from within the supply chain (MLA 2020</w:t>
      </w:r>
      <w:r w:rsidRPr="00383300">
        <w:rPr>
          <w:vertAlign w:val="superscript"/>
        </w:rPr>
        <w:t>1</w:t>
      </w:r>
      <w:r w:rsidRPr="00383300">
        <w:t xml:space="preserve">). Producers who collectively manage half of Australia’s land mass can potentially gain the most through opportunities presented by carbon farming. </w:t>
      </w:r>
    </w:p>
    <w:p w14:paraId="12104CA3" w14:textId="51F19C01" w:rsidR="00383300" w:rsidRPr="00383300" w:rsidRDefault="00383300" w:rsidP="00383300">
      <w:pPr>
        <w:jc w:val="both"/>
      </w:pPr>
      <w:r w:rsidRPr="00383300">
        <w:t>The CN30 Roadmap includes four focus work areas that were designed to create multiple benefits for industry and stakeholders.</w:t>
      </w:r>
      <w:r w:rsidR="00845A8A">
        <w:t xml:space="preserve"> </w:t>
      </w:r>
      <w:r w:rsidR="00845A8A" w:rsidRPr="00383300">
        <w:t>SustainCERT’s joint-funded project sits squarely within the Integrated Management Systems work area of Fig. 1. The goal of which is to drive adoption of technologies across the value chain. This work stream consists of activities that enable measurement, accounting and reporting throughout the red meat value chain and connecting the dots from workstreams that focus on Greenhouse Gas (GHG) emissions avoidance and carbon storage (MLA 2020</w:t>
      </w:r>
      <w:r w:rsidR="00845A8A" w:rsidRPr="00383300">
        <w:rPr>
          <w:vertAlign w:val="superscript"/>
        </w:rPr>
        <w:t>1</w:t>
      </w:r>
      <w:r w:rsidR="00845A8A" w:rsidRPr="00383300">
        <w:t>).</w:t>
      </w:r>
    </w:p>
    <w:p w14:paraId="1658B739" w14:textId="77777777" w:rsidR="00383300" w:rsidRPr="00383300" w:rsidRDefault="00383300" w:rsidP="00383300">
      <w:pPr>
        <w:rPr>
          <w:b/>
          <w:bCs/>
        </w:rPr>
      </w:pPr>
      <w:r w:rsidRPr="00383300">
        <w:rPr>
          <w:b/>
          <w:bCs/>
        </w:rPr>
        <w:t>Figure 1. The key focus areas identified in the CN30 Roadmap. Source:  MLA Roadmap (2020</w:t>
      </w:r>
      <w:r w:rsidRPr="00383300">
        <w:rPr>
          <w:b/>
          <w:bCs/>
          <w:vertAlign w:val="superscript"/>
        </w:rPr>
        <w:t>1</w:t>
      </w:r>
      <w:r w:rsidRPr="00383300">
        <w:rPr>
          <w:b/>
          <w:bCs/>
        </w:rPr>
        <w:t>)</w:t>
      </w:r>
    </w:p>
    <w:p w14:paraId="6479CD69" w14:textId="7DF7D921" w:rsidR="00383300" w:rsidRPr="00383300" w:rsidRDefault="009D30B8" w:rsidP="00383300">
      <w:r>
        <w:rPr>
          <w:noProof/>
          <w:lang w:eastAsia="en-AU"/>
        </w:rPr>
        <mc:AlternateContent>
          <mc:Choice Requires="wps">
            <w:drawing>
              <wp:anchor distT="0" distB="0" distL="114300" distR="114300" simplePos="0" relativeHeight="251662336" behindDoc="0" locked="0" layoutInCell="1" allowOverlap="1" wp14:anchorId="2851B6DC" wp14:editId="5FE63A27">
                <wp:simplePos x="0" y="0"/>
                <wp:positionH relativeFrom="column">
                  <wp:posOffset>1148135</wp:posOffset>
                </wp:positionH>
                <wp:positionV relativeFrom="paragraph">
                  <wp:posOffset>2156212</wp:posOffset>
                </wp:positionV>
                <wp:extent cx="3423037" cy="621030"/>
                <wp:effectExtent l="19050" t="19050" r="25400" b="26670"/>
                <wp:wrapNone/>
                <wp:docPr id="7" name="Flowchart: Terminator 7"/>
                <wp:cNvGraphicFramePr/>
                <a:graphic xmlns:a="http://schemas.openxmlformats.org/drawingml/2006/main">
                  <a:graphicData uri="http://schemas.microsoft.com/office/word/2010/wordprocessingShape">
                    <wps:wsp>
                      <wps:cNvSpPr/>
                      <wps:spPr>
                        <a:xfrm>
                          <a:off x="0" y="0"/>
                          <a:ext cx="3423037" cy="621030"/>
                        </a:xfrm>
                        <a:prstGeom prst="flowChartTerminator">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7CC8C04" id="_x0000_t116" coordsize="21600,21600" o:spt="116" path="m3475,qx,10800,3475,21600l18125,21600qx21600,10800,18125,xe">
                <v:stroke joinstyle="miter"/>
                <v:path gradientshapeok="t" o:connecttype="rect" textboxrect="1018,3163,20582,18437"/>
              </v:shapetype>
              <v:shape id="Flowchart: Terminator 7" o:spid="_x0000_s1026" type="#_x0000_t116" style="position:absolute;margin-left:90.4pt;margin-top:169.8pt;width:269.55pt;height:48.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" filled="f" strokecolor="red" strokeweight="2.25pt"/>
            </w:pict>
          </mc:Fallback>
        </mc:AlternateContent>
      </w:r>
      <w:r w:rsidRPr="009D30B8">
        <w:rPr>
          <w:noProof/>
          <w:lang w:eastAsia="en-AU"/>
        </w:rPr>
        <w:drawing>
          <wp:inline distT="0" distB="0" distL="0" distR="0" wp14:anchorId="7F11A906" wp14:editId="0F30131A">
            <wp:extent cx="5731510" cy="398272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982720"/>
                    </a:xfrm>
                    <a:prstGeom prst="rect">
                      <a:avLst/>
                    </a:prstGeom>
                    <a:noFill/>
                    <a:ln>
                      <a:noFill/>
                    </a:ln>
                  </pic:spPr>
                </pic:pic>
              </a:graphicData>
            </a:graphic>
          </wp:inline>
        </w:drawing>
      </w:r>
    </w:p>
    <w:p w14:paraId="2FCA2ED4" w14:textId="75CEBE54" w:rsidR="00383300" w:rsidRPr="00383300" w:rsidRDefault="00383300" w:rsidP="00383300">
      <w:r w:rsidRPr="00383300">
        <w:t>SustainCERT’s project supports the roadmap through the design and development of a digitised pathway to enable and facilitate the industry to monitor, report and verify data, carbon credits and emission factors. An emissions factor in this context is a representative value that estimates the ratio of pollutant released to the atmosphere to the volume of meat (X kg CO</w:t>
      </w:r>
      <w:r w:rsidRPr="00383300">
        <w:rPr>
          <w:vertAlign w:val="subscript"/>
        </w:rPr>
        <w:t>2</w:t>
      </w:r>
      <w:r w:rsidRPr="00383300">
        <w:t>e/kg of beef)</w:t>
      </w:r>
      <w:r w:rsidR="00017890">
        <w:t>.</w:t>
      </w:r>
      <w:r w:rsidRPr="00383300">
        <w:t xml:space="preserve"> In addition, the project aligns well with multiple benefits of ‘demonstrated environmental stewardship’ and ‘increased productivity and profitability’.</w:t>
      </w:r>
    </w:p>
    <w:p w14:paraId="7A735441" w14:textId="77777777" w:rsidR="00383300" w:rsidRPr="00383300" w:rsidRDefault="00383300" w:rsidP="00383300">
      <w:r w:rsidRPr="00383300">
        <w:lastRenderedPageBreak/>
        <w:t xml:space="preserve">The outcomes of this project provide specific technical solutions for the industry in relation to digitising the monitoring, reporting and verification of reductions in greenhouse gas emissions as a result of interventions at the production and processing level. This proposal for an end-to-end pathway will digitise the process and verify data required for access to carbon markets or for data to flow to an impact tracking mechanism and reporting framework for businesses within the red meat supply chain who are seeking Scope 3 claims or verified lower emission factor (EF) outputs.  </w:t>
      </w:r>
    </w:p>
    <w:p w14:paraId="35742844" w14:textId="77777777" w:rsidR="00383300" w:rsidRPr="00383300" w:rsidRDefault="00383300" w:rsidP="00383300">
      <w:r w:rsidRPr="00383300">
        <w:t>As the final milestone for this project, SustainCERT aims is to continue the collaboration with Meat and Livestock Australia and other industry bodies with the piloting, stress testing and deployment phases of the SustainCERT Platform for the red meat industry.</w:t>
      </w:r>
    </w:p>
    <w:p w14:paraId="4EBBA572" w14:textId="59580434" w:rsidR="002D57DF" w:rsidRPr="00BC4873" w:rsidRDefault="002F1B0B" w:rsidP="00AC178D">
      <w:pPr>
        <w:pStyle w:val="Heading1"/>
        <w:keepLines w:val="0"/>
        <w:numPr>
          <w:ilvl w:val="0"/>
          <w:numId w:val="12"/>
        </w:numPr>
        <w:spacing w:after="240" w:line="240" w:lineRule="auto"/>
        <w:jc w:val="both"/>
        <w:rPr>
          <w:rFonts w:asciiTheme="minorHAnsi" w:hAnsiTheme="minorHAnsi" w:cstheme="minorHAnsi"/>
        </w:rPr>
      </w:pPr>
      <w:bookmarkStart w:id="35" w:name="_Toc88494272"/>
      <w:r>
        <w:rPr>
          <w:rFonts w:asciiTheme="minorHAnsi" w:hAnsiTheme="minorHAnsi" w:cstheme="minorHAnsi"/>
        </w:rPr>
        <w:t>Objectives</w:t>
      </w:r>
      <w:bookmarkEnd w:id="35"/>
    </w:p>
    <w:p w14:paraId="08043E14" w14:textId="77777777" w:rsidR="00383300" w:rsidRPr="00394FC3" w:rsidRDefault="00383300" w:rsidP="00383300">
      <w:pPr>
        <w:spacing w:after="200" w:line="276" w:lineRule="auto"/>
        <w:rPr>
          <w:rStyle w:val="eop"/>
        </w:rPr>
      </w:pPr>
      <w:r>
        <w:rPr>
          <w:rStyle w:val="normaltextrun"/>
          <w:rFonts w:ascii="Calibri" w:hAnsi="Calibri" w:cs="Calibri"/>
          <w:color w:val="000000"/>
          <w:shd w:val="clear" w:color="auto" w:fill="FFFFFF"/>
        </w:rPr>
        <w:t>The participant will achieve the following objective(s) to MLA's reasonable satisfaction:</w:t>
      </w:r>
      <w:r>
        <w:rPr>
          <w:rStyle w:val="eop"/>
          <w:rFonts w:ascii="Calibri" w:hAnsi="Calibri" w:cs="Calibri"/>
          <w:color w:val="000000"/>
          <w:shd w:val="clear" w:color="auto" w:fill="FFFFFF"/>
        </w:rPr>
        <w:t> </w:t>
      </w:r>
    </w:p>
    <w:p w14:paraId="25CE3333" w14:textId="77777777" w:rsidR="00383300" w:rsidRDefault="00383300" w:rsidP="00383300">
      <w:pPr>
        <w:numPr>
          <w:ilvl w:val="0"/>
          <w:numId w:val="19"/>
        </w:numPr>
        <w:spacing w:after="200" w:line="276" w:lineRule="auto"/>
      </w:pPr>
      <w:r>
        <w:t>Establish the foundations for an industry wide, scalable, cost effective GHG emissions certification platform</w:t>
      </w:r>
    </w:p>
    <w:p w14:paraId="728EEC43" w14:textId="77777777" w:rsidR="00383300" w:rsidRDefault="00383300" w:rsidP="00383300">
      <w:pPr>
        <w:numPr>
          <w:ilvl w:val="0"/>
          <w:numId w:val="19"/>
        </w:numPr>
        <w:spacing w:after="200" w:line="276" w:lineRule="auto"/>
      </w:pPr>
      <w:r>
        <w:t>Produce a set of standardised tools and requirements to report on GHG emissions and HGH emissions reductions associated with their activities</w:t>
      </w:r>
    </w:p>
    <w:p w14:paraId="700AC424" w14:textId="77777777" w:rsidR="00383300" w:rsidRDefault="00383300" w:rsidP="00383300">
      <w:pPr>
        <w:numPr>
          <w:ilvl w:val="0"/>
          <w:numId w:val="19"/>
        </w:numPr>
        <w:spacing w:after="200" w:line="276" w:lineRule="auto"/>
      </w:pPr>
      <w:r>
        <w:t>Produce guidelines and tools for users, including webinars, fact sheets and other relevant supporting information to be included in MLA extension and adoption materials.</w:t>
      </w:r>
    </w:p>
    <w:p w14:paraId="2AA37247" w14:textId="43BDC2A6" w:rsidR="00383300" w:rsidRDefault="00383300" w:rsidP="00383300">
      <w:pPr>
        <w:spacing w:after="0" w:line="240" w:lineRule="auto"/>
        <w:rPr>
          <w:rFonts w:cs="Arial"/>
        </w:rPr>
      </w:pPr>
      <w:r w:rsidRPr="00383300">
        <w:rPr>
          <w:rFonts w:cs="Arial"/>
        </w:rPr>
        <w:t>SustainCERT has established the foundations for an industry wide certification platform, this product concept was formed in consultation with stakeholders. Buyers of red meat are seeking credible processes for Scope 3 reporting of low carbon product and procurement, and this is expected to drive demand, for producers, feed lotters, processors, and other players and is only limited by standardised methods and interventions for reducing emission.  SustainCERT has already established the need for similar digitised processes with other indus</w:t>
      </w:r>
      <w:r w:rsidR="007516DF">
        <w:rPr>
          <w:rFonts w:cs="Arial"/>
        </w:rPr>
        <w:t>tries and partners such as Rabob</w:t>
      </w:r>
      <w:r w:rsidRPr="00383300">
        <w:rPr>
          <w:rFonts w:cs="Arial"/>
        </w:rPr>
        <w:t>ank are piloting the broader digital platform product to ensure the operability and outputs meets their customers’ needs. Other partners are stress testing the transactional functionality through specifically designed pilots and these projects will inform the piloting and deployment of the red meat platform in Australia.</w:t>
      </w:r>
    </w:p>
    <w:p w14:paraId="36250865" w14:textId="77777777" w:rsidR="00383300" w:rsidRPr="00383300" w:rsidRDefault="00383300" w:rsidP="00383300">
      <w:pPr>
        <w:spacing w:after="0" w:line="240" w:lineRule="auto"/>
        <w:rPr>
          <w:rFonts w:cs="Arial"/>
        </w:rPr>
      </w:pPr>
    </w:p>
    <w:p w14:paraId="5B63D50C" w14:textId="398F403D" w:rsidR="00383300" w:rsidRDefault="00383300" w:rsidP="00383300">
      <w:pPr>
        <w:spacing w:after="0" w:line="240" w:lineRule="auto"/>
        <w:rPr>
          <w:rFonts w:cs="Arial"/>
        </w:rPr>
      </w:pPr>
      <w:r w:rsidRPr="00383300">
        <w:rPr>
          <w:rFonts w:cs="Arial"/>
        </w:rPr>
        <w:t>SustainCERT has reviewed the available suite of methods and tools available for interventions for integration into the digital monitoring, reporting and verification module of the digitised platform. The use of methods that reduce emissions from the production process of red meat that are already established for carbon markets will be integrated in the platform as a buildout workstream in the deployment phase.  Future interventions can be assessed for inclusion where they meet the technical requirements and emissions reduction calculations and are supported by a recognised standard.  This is particularly relevant for the future inclusion of sheep and goat meat to the digital SustainCERT platform for red meat and as enteric methane measurement and monitoring technology matures.</w:t>
      </w:r>
    </w:p>
    <w:p w14:paraId="47A02EB7" w14:textId="77777777" w:rsidR="00383300" w:rsidRPr="00383300" w:rsidRDefault="00383300" w:rsidP="00383300">
      <w:pPr>
        <w:spacing w:after="0" w:line="240" w:lineRule="auto"/>
        <w:rPr>
          <w:rFonts w:cs="Arial"/>
        </w:rPr>
      </w:pPr>
    </w:p>
    <w:p w14:paraId="6AF77083" w14:textId="1F254487" w:rsidR="00383300" w:rsidRDefault="00383300" w:rsidP="00B04554">
      <w:pPr>
        <w:spacing w:after="0" w:line="240" w:lineRule="auto"/>
        <w:rPr>
          <w:rFonts w:cs="Arial"/>
          <w:i/>
        </w:rPr>
      </w:pPr>
      <w:r w:rsidRPr="00383300">
        <w:rPr>
          <w:rFonts w:cs="Arial"/>
        </w:rPr>
        <w:t>SustainCERT have been developing general value chain guidance across various sectors as part of the global Value Change program and have developed a use case for red meat producers, to be presented at the November launch of the value change program.  Other guidance material specifically for red meat sectoral players including lot feeders, processors and buyers will be finalised for the piloting process in 2022. The guidelines for users of the digital platform are available for MLA.</w:t>
      </w:r>
      <w:r>
        <w:rPr>
          <w:rFonts w:cs="Arial"/>
          <w:i/>
        </w:rPr>
        <w:br w:type="page"/>
      </w:r>
    </w:p>
    <w:p w14:paraId="0EEC1B9B" w14:textId="327A9F21" w:rsidR="00F9754D" w:rsidRDefault="002F1B0B" w:rsidP="00AC178D">
      <w:pPr>
        <w:pStyle w:val="Heading1"/>
        <w:numPr>
          <w:ilvl w:val="0"/>
          <w:numId w:val="12"/>
        </w:numPr>
      </w:pPr>
      <w:bookmarkStart w:id="36" w:name="_Toc88494273"/>
      <w:r>
        <w:lastRenderedPageBreak/>
        <w:t>Methodology</w:t>
      </w:r>
      <w:bookmarkEnd w:id="36"/>
    </w:p>
    <w:p w14:paraId="66D5CBE2" w14:textId="77777777" w:rsidR="00B67489" w:rsidRDefault="00B67489" w:rsidP="00383300"/>
    <w:p w14:paraId="0B5125EA" w14:textId="1E1A0245" w:rsidR="00383300" w:rsidRDefault="00383300" w:rsidP="00383300">
      <w:r>
        <w:t>The SustainCERT project team have delivered several milestone reports and completed desktop research, an industry-wide literature review and conducted interviews with producers, feed lotters, processors, and corporates as well as carbon project developers. The purpose of this exercise was to ascertain the different attitudes towards agricultural technology, carbon farming projects, practise change and willingness to participate and pay for programs and initiatives that will guide future development and maturity of the ‘decarbonisation’ of the red meat industry. Consumer and social research literature was reviewed to investigate market acceptance and demand for low carbon products and labelling. Information from the following sources has been used in this assessment:</w:t>
      </w:r>
    </w:p>
    <w:p w14:paraId="43282F57" w14:textId="75427CAB" w:rsidR="00383300" w:rsidRDefault="00383300" w:rsidP="00383300">
      <w:pPr>
        <w:numPr>
          <w:ilvl w:val="0"/>
          <w:numId w:val="22"/>
        </w:numPr>
      </w:pPr>
      <w:r>
        <w:t>MLA’s categorisation survey results</w:t>
      </w:r>
    </w:p>
    <w:p w14:paraId="77ACF252" w14:textId="12B59ED7" w:rsidR="00383300" w:rsidRDefault="00383300" w:rsidP="00383300">
      <w:pPr>
        <w:numPr>
          <w:ilvl w:val="0"/>
          <w:numId w:val="22"/>
        </w:numPr>
      </w:pPr>
      <w:r>
        <w:t>MLA’s market reports</w:t>
      </w:r>
    </w:p>
    <w:p w14:paraId="40D92C33" w14:textId="5C9B552D" w:rsidR="00383300" w:rsidRDefault="00383300" w:rsidP="00383300">
      <w:pPr>
        <w:numPr>
          <w:ilvl w:val="0"/>
          <w:numId w:val="22"/>
        </w:numPr>
      </w:pPr>
      <w:r>
        <w:t>MLA’s CN30 Roadmap</w:t>
      </w:r>
    </w:p>
    <w:p w14:paraId="66817678" w14:textId="4E1F8C98" w:rsidR="00383300" w:rsidRDefault="00383300" w:rsidP="00383300">
      <w:pPr>
        <w:numPr>
          <w:ilvl w:val="0"/>
          <w:numId w:val="22"/>
        </w:numPr>
      </w:pPr>
      <w:r>
        <w:t>Sector and consumer literature research</w:t>
      </w:r>
    </w:p>
    <w:p w14:paraId="0FAAC08C" w14:textId="2B61769E" w:rsidR="00383300" w:rsidRDefault="00383300" w:rsidP="00383300">
      <w:pPr>
        <w:numPr>
          <w:ilvl w:val="0"/>
          <w:numId w:val="22"/>
        </w:numPr>
      </w:pPr>
      <w:r>
        <w:t>Desktop literature review and interviews with carbon project developers</w:t>
      </w:r>
    </w:p>
    <w:p w14:paraId="24A9845E" w14:textId="5510453E" w:rsidR="00383300" w:rsidRDefault="00383300" w:rsidP="00383300">
      <w:pPr>
        <w:numPr>
          <w:ilvl w:val="0"/>
          <w:numId w:val="22"/>
        </w:numPr>
      </w:pPr>
      <w:r>
        <w:t>Conversations and interviews with red meat producers, processors, and other supply chain players</w:t>
      </w:r>
    </w:p>
    <w:p w14:paraId="1647C4E5" w14:textId="6C3D3E0D" w:rsidR="00383300" w:rsidRDefault="00383300" w:rsidP="00383300">
      <w:pPr>
        <w:numPr>
          <w:ilvl w:val="0"/>
          <w:numId w:val="22"/>
        </w:numPr>
      </w:pPr>
      <w:r>
        <w:t>Information from the participation in and attendance of red meat sector, carbon farming and carbon market sector forums and webinars</w:t>
      </w:r>
    </w:p>
    <w:p w14:paraId="5A594840" w14:textId="04827376" w:rsidR="00383300" w:rsidRDefault="00383300" w:rsidP="00383300">
      <w:pPr>
        <w:numPr>
          <w:ilvl w:val="0"/>
          <w:numId w:val="22"/>
        </w:numPr>
      </w:pPr>
      <w:r>
        <w:t>Global Value Change Initiative guidance, working groups and pilots.</w:t>
      </w:r>
    </w:p>
    <w:p w14:paraId="2E35AEE5" w14:textId="77777777" w:rsidR="00383300" w:rsidRDefault="00383300" w:rsidP="00383300">
      <w:r>
        <w:t xml:space="preserve">SustainCERT has partnered with Corporate Carbon (Australia) to examine the costs and benefits for producers developing a carbon project under the Federal Government’s ERF and how this compares to a supply chain focussed method of claiming emission reductions. </w:t>
      </w:r>
    </w:p>
    <w:p w14:paraId="5C835364" w14:textId="77777777" w:rsidR="00383300" w:rsidRDefault="00383300" w:rsidP="00383300">
      <w:r>
        <w:t xml:space="preserve">A risk analysis was conducted using MLA’s state of the industry and international market reports and international carbon pricing policies, as well as news and media sources on trade agreements and carbon taxes. </w:t>
      </w:r>
    </w:p>
    <w:p w14:paraId="3523191E" w14:textId="77777777" w:rsidR="00383300" w:rsidRDefault="00383300" w:rsidP="00383300">
      <w:r>
        <w:t>SustainCERT has been participating in the development of guidance documents and methods to guide corporates in making credible Scope 3 reporting claims across the value chain (referred to as the Value Change Initiative or program). This work is underpinned by the science-based target initiative for corporate value chain reporting.</w:t>
      </w:r>
    </w:p>
    <w:p w14:paraId="1E875C0F" w14:textId="77777777" w:rsidR="00383300" w:rsidRDefault="00383300" w:rsidP="00383300">
      <w:r>
        <w:t>The SustainCERT supply chain and technology development teams have been developing ‘use’ cases for demonstrating the emissions factor tracking mechanisms and the digital monitoring, reporting and verification process. Throughout the design stages of this digital solution SustainCERT has engaged with stakeholders in both Australia and international supply chains as well as the global partnership the United Nations Global Compact, the World Resources Institute, CDP (previously the Carbon Disclosure Project) and the World Wildlife Fund for Nature, collectively known as the Science Based Target initiative (SBTi).</w:t>
      </w:r>
    </w:p>
    <w:p w14:paraId="49E35BDA" w14:textId="77777777" w:rsidR="00383300" w:rsidRDefault="00383300" w:rsidP="00383300">
      <w:r>
        <w:t xml:space="preserve">SustainCERT and stakeholders have collaborated to identify the levers necessary to incentivise suppliers in measuring Scope 1, 2 &amp; 3 emissions, committing to the automation of data collection </w:t>
      </w:r>
      <w:r>
        <w:lastRenderedPageBreak/>
        <w:t>and digitised systems and implementing activities that reduce emissions and provide credible reporting pathways.</w:t>
      </w:r>
    </w:p>
    <w:p w14:paraId="3247A113" w14:textId="77777777" w:rsidR="00383300" w:rsidRDefault="00383300" w:rsidP="00383300">
      <w:r>
        <w:t>The ‘use’ case for Australian red meat has been developed in consultation with stakeholders from across the industry and supply chain experts and has been presented to a select group of potential participants. The next phase of the Australian Red Meat Program is to formally invite stakeholders to support pilots for testing its practical application, resolve implementation issues and further explore opportunities to encourage participation and to increase applicability to other red meat categories. Collaboration from across the industry will be required to transition from pilot to deployment in 2022/23.</w:t>
      </w:r>
    </w:p>
    <w:p w14:paraId="00FB1871" w14:textId="77777777" w:rsidR="00383300" w:rsidRDefault="00383300" w:rsidP="00383300">
      <w:r>
        <w:t>The methodology employed by SustainCERT has been instrumental in the design and framework of the digital SustainCERT platform with includes the digital monitoring, reporting and verification module as well as an Impact factor tracking mechanism.</w:t>
      </w:r>
    </w:p>
    <w:p w14:paraId="41E5842A" w14:textId="6970CB37" w:rsidR="002F1B0B" w:rsidRDefault="00383300" w:rsidP="00383300">
      <w:r>
        <w:t>The next phase of the project is to test and pilot the components of the digital platform and resolve any operational or functionality issues prior to deployment.</w:t>
      </w:r>
      <w:r w:rsidR="002F1B0B" w:rsidRPr="00D03791">
        <w:t xml:space="preserve"> </w:t>
      </w:r>
    </w:p>
    <w:p w14:paraId="5884BA3B" w14:textId="1EEEBAE9" w:rsidR="00B04554" w:rsidRDefault="00B04554">
      <w:pPr>
        <w:rPr>
          <w:rFonts w:eastAsia="Times New Roman" w:cstheme="minorHAnsi"/>
          <w:i/>
          <w:lang w:bidi="en-US"/>
        </w:rPr>
      </w:pPr>
      <w:r>
        <w:br w:type="page"/>
      </w:r>
    </w:p>
    <w:p w14:paraId="614EEDF4" w14:textId="6EF3C39D" w:rsidR="00545240" w:rsidRPr="00545240" w:rsidRDefault="002F1B0B" w:rsidP="00B04554">
      <w:pPr>
        <w:pStyle w:val="Heading1"/>
        <w:numPr>
          <w:ilvl w:val="0"/>
          <w:numId w:val="12"/>
        </w:numPr>
        <w:spacing w:after="240"/>
      </w:pPr>
      <w:bookmarkStart w:id="37" w:name="_Toc88494274"/>
      <w:r>
        <w:lastRenderedPageBreak/>
        <w:t>Results</w:t>
      </w:r>
      <w:bookmarkEnd w:id="37"/>
    </w:p>
    <w:p w14:paraId="1B7D0A5C" w14:textId="77777777" w:rsidR="00D303EB" w:rsidRPr="00D303EB" w:rsidRDefault="00D303EB" w:rsidP="00D303EB">
      <w:pPr>
        <w:pStyle w:val="ListParagraph"/>
        <w:keepNext/>
        <w:numPr>
          <w:ilvl w:val="0"/>
          <w:numId w:val="13"/>
        </w:numPr>
        <w:tabs>
          <w:tab w:val="left" w:pos="709"/>
        </w:tabs>
        <w:spacing w:before="240" w:after="240" w:line="240" w:lineRule="auto"/>
        <w:contextualSpacing w:val="0"/>
        <w:jc w:val="both"/>
        <w:outlineLvl w:val="1"/>
        <w:rPr>
          <w:rFonts w:cs="Arial"/>
          <w:b/>
          <w:vanish/>
          <w:sz w:val="28"/>
          <w:szCs w:val="24"/>
        </w:rPr>
      </w:pPr>
    </w:p>
    <w:p w14:paraId="4245DB5E" w14:textId="77777777" w:rsidR="00D303EB" w:rsidRPr="00D303EB" w:rsidRDefault="00D303EB" w:rsidP="00D303EB">
      <w:pPr>
        <w:pStyle w:val="ListParagraph"/>
        <w:keepNext/>
        <w:numPr>
          <w:ilvl w:val="0"/>
          <w:numId w:val="13"/>
        </w:numPr>
        <w:tabs>
          <w:tab w:val="left" w:pos="709"/>
        </w:tabs>
        <w:spacing w:before="240" w:after="240" w:line="240" w:lineRule="auto"/>
        <w:contextualSpacing w:val="0"/>
        <w:jc w:val="both"/>
        <w:outlineLvl w:val="1"/>
        <w:rPr>
          <w:rFonts w:cs="Arial"/>
          <w:b/>
          <w:vanish/>
          <w:sz w:val="28"/>
          <w:szCs w:val="24"/>
        </w:rPr>
      </w:pPr>
    </w:p>
    <w:p w14:paraId="737C2766" w14:textId="77777777" w:rsidR="00D303EB" w:rsidRPr="00D303EB" w:rsidRDefault="00D303EB" w:rsidP="00D303EB">
      <w:pPr>
        <w:pStyle w:val="ListParagraph"/>
        <w:keepNext/>
        <w:numPr>
          <w:ilvl w:val="0"/>
          <w:numId w:val="13"/>
        </w:numPr>
        <w:tabs>
          <w:tab w:val="left" w:pos="709"/>
        </w:tabs>
        <w:spacing w:before="240" w:after="240" w:line="240" w:lineRule="auto"/>
        <w:contextualSpacing w:val="0"/>
        <w:jc w:val="both"/>
        <w:outlineLvl w:val="1"/>
        <w:rPr>
          <w:rFonts w:cs="Arial"/>
          <w:b/>
          <w:vanish/>
          <w:sz w:val="28"/>
          <w:szCs w:val="24"/>
        </w:rPr>
      </w:pPr>
    </w:p>
    <w:p w14:paraId="4714BF1C" w14:textId="1BD5FEAA" w:rsidR="00383300" w:rsidRDefault="00383300" w:rsidP="00E11386">
      <w:pPr>
        <w:pStyle w:val="Heading2"/>
      </w:pPr>
      <w:bookmarkStart w:id="38" w:name="_Toc88494275"/>
      <w:r w:rsidRPr="00A41000">
        <w:t>Overview</w:t>
      </w:r>
      <w:bookmarkEnd w:id="38"/>
    </w:p>
    <w:p w14:paraId="55844B3F" w14:textId="65506D6F" w:rsidR="00383300" w:rsidRDefault="00383300" w:rsidP="007C332D">
      <w:pPr>
        <w:pStyle w:val="Heading3"/>
      </w:pPr>
      <w:bookmarkStart w:id="39" w:name="_Toc88494276"/>
      <w:r w:rsidRPr="00383300">
        <w:t>Pathways for producers to monetise carbon benefits</w:t>
      </w:r>
      <w:bookmarkEnd w:id="39"/>
    </w:p>
    <w:p w14:paraId="6DE80264" w14:textId="77777777" w:rsidR="004C56C4" w:rsidRPr="004C56C4" w:rsidRDefault="004C56C4" w:rsidP="004C56C4">
      <w:r w:rsidRPr="004C56C4">
        <w:t xml:space="preserve">There are multiple activity options available to generate carbon credits, but it remains difficult for many farms, feedlots or other supply chain businesses to decide on what is the most suitable and beneficial option for their specific business. The most feasible pathway for landowners participating in the carbon market in Australia is to develop a carbon project using an Emissions Reduction Fund (ERF) vegetation-based method to generate Australian Carbon Credit Units (ACCU)s. Agricultural methods continue to have low adoption due to a number of reasons impacting on the feasibility, however this is being addressed on multiple fronts from both private and public investment. </w:t>
      </w:r>
    </w:p>
    <w:p w14:paraId="78B0AD50" w14:textId="77777777" w:rsidR="004C56C4" w:rsidRPr="004C56C4" w:rsidRDefault="004C56C4" w:rsidP="004C56C4">
      <w:r w:rsidRPr="004C56C4">
        <w:t>Carbon farming is the most common method currently for the red meat sector to generate carbon credits in Australia, which was initially supported by the federal government’s 2001-2014 carbon farming initiative. This initiative encouraged land managers to participate in the voluntary carbon offsets scheme by allowing them to earn revenue through carbon credits generated from changing land use or management practises to store carbon or reduce greenhouse gas emissions (CER 2016). The ERF evolved from this initiative and is designed to provide incentives for a range of organisations and individuals to adopt new practises and technologies to reduce their emissions, resulting in carbon credits. Types of projects that developers choose to undertake under the ERF are called methods. Many methods are available for the land sector, including increasing soil carbon, reducing livestock emissions, expanding opportunities for environmental and carbon sink plantings, and reforestation.</w:t>
      </w:r>
    </w:p>
    <w:p w14:paraId="2CF5C0FD" w14:textId="77777777" w:rsidR="004C56C4" w:rsidRPr="004C56C4" w:rsidRDefault="004C56C4" w:rsidP="004C56C4">
      <w:r w:rsidRPr="004C56C4">
        <w:t>However, while they can provide an additional revenue stream, carbon credit-generating projects are not an option for all producers and red meat supply chain participants. For example, the cost to implement develop and implement a project and certification/audits can be a major barrier and "early actors" with best practices may not be eligible to generate credits as the system is geared towards rewarding those who can improve the most. Carbon credits are also not applicable for producers or other supply chain actors who want to report lower emissions or a reduced footprint from their activities as the carbon credit can only be claimed by the entity who retires it. As such, for producers who understand their carbon accounts and are operating beef businesses at best practise, it may be beneficial to seek alternative pathways to deliver low carbon beef. This could include utilising the carbon accounts to measure the emissions factor of beef being produced or processed, implementing activities to reduce that as much as possible and having that improved value verified for buyers looking for low carbon procurement outcomes for their supply chain reporting (Scope 3). Participating in an alternative program for recognition of low emissions factor beef can still occur in conjunction with generating carbon credits if the programs cover different activities. For example, a producer could be sequestering carbon in vegetation or soil and generating carbon credits as well as reducing emissions from the herd (enteric methane) using a verified emissions factor for a different market.</w:t>
      </w:r>
    </w:p>
    <w:p w14:paraId="12AC31C9" w14:textId="50181ED0" w:rsidR="004C56C4" w:rsidRDefault="004C56C4" w:rsidP="004C56C4">
      <w:r w:rsidRPr="004C56C4">
        <w:t xml:space="preserve">Additionally, there are international standards for the development of carbon projects for the voluntary market that are under-utilised in Australia for a variety of reasons, including accounting rules to prevent double counting, lack of exposure/experience with other standards, and project feasibility in the context of a relatively small voluntary market. As international agreements, rules, and guidance documents are developed and implemented, the Australian carbon sector is expected </w:t>
      </w:r>
      <w:r w:rsidRPr="004C56C4">
        <w:lastRenderedPageBreak/>
        <w:t>to grow and mature, and this could lead to the broader adoption of international standards and other initiatives. This is especially relevant due to the global extent of Australia's red meat exports, as discussed further in this report.</w:t>
      </w:r>
    </w:p>
    <w:p w14:paraId="50D89AAA" w14:textId="3F4FD20B" w:rsidR="00383300" w:rsidRDefault="00383300" w:rsidP="007C332D">
      <w:pPr>
        <w:pStyle w:val="Heading3"/>
        <w:numPr>
          <w:ilvl w:val="2"/>
          <w:numId w:val="40"/>
        </w:numPr>
      </w:pPr>
      <w:bookmarkStart w:id="40" w:name="_Toc88494277"/>
      <w:r w:rsidRPr="00383300">
        <w:t>SustainCERT’s solution</w:t>
      </w:r>
      <w:bookmarkEnd w:id="40"/>
    </w:p>
    <w:p w14:paraId="46A48037" w14:textId="77777777" w:rsidR="004C56C4" w:rsidRPr="004C56C4" w:rsidRDefault="004C56C4" w:rsidP="004C56C4">
      <w:r w:rsidRPr="004C56C4">
        <w:t>SustainCERT has consulted globally with producers, supply chain actors, companies, corporates and global partnerships such as the Science Based Target Initiative, to develop solutions for tracking supply chain emissions for Scope 3 reporting. The aim of the consultation was to identify efficient and practical carbon benefit pathways within global supply chains for suppliers of low carbon goods to be rewarded for their effort, and for buyers of low carbon goods to unlock credible reporting claims.</w:t>
      </w:r>
    </w:p>
    <w:p w14:paraId="2FD78996" w14:textId="77777777" w:rsidR="004C56C4" w:rsidRPr="004C56C4" w:rsidRDefault="004C56C4" w:rsidP="004C56C4">
      <w:r w:rsidRPr="004C56C4">
        <w:t xml:space="preserve">In addition, SustainCERT has been developing a tool (digital platform) to enable the exchange of information between stakeholders within these carbon reduction pathways. The tool provides a registry of verified emission reduction interventions associated with the amount of impacted commodity or goods (e.g., cattle liveweight). Consequently, it facilitates the exchange of this information between interested parties in a secure way, enabling investors to recover their financial investment on carbon reduction and removal enhancements projects. To illustrate the use of this tool, SustainCERT created an example of a ‘use’ case for Australian beef that can evolve to include other red meat (lamb and goat) and be scalable and applicable across the global red meat supply chain. While it is straightforward to seamlessly interface the impact data between suppliers and producers, some specific components need to be tested in the piloting phase. </w:t>
      </w:r>
    </w:p>
    <w:p w14:paraId="7439D3B9" w14:textId="6591CC54" w:rsidR="004C56C4" w:rsidRDefault="004C56C4" w:rsidP="004C56C4">
      <w:r w:rsidRPr="004C56C4">
        <w:t>It is anticipated that additional carbon benefit outcomes can be stacked into the system, such as verified removals (i.e., verified carbon sequestration from the farm), as global guidance and rules for corporate reporting are finalised (GHG Protocol guidance 2021). This feature would allow a producer who is producing low carbon beef to register a herd with a certified low emission factor onto the digital platform, and in addition, register removals through soil or vegetation from the same farm business to enable the retirement of removals from within the supply chain. These removals benefits, when combined with a science-based target, would enable the reporting entity to align with NetZero (and make a claim of ‘neutralisation’ on the way to its Net Zero target). This will be facilitated by a digitised monitoring, reporting and verification module which will flow verified data from a producer’s carbon removals project to the red meat supply chain impact factor tracking mechanism – all within the SustainCERT Platform. These units or impacts (improved emission factors or removals) could then be purchased by red meat who</w:t>
      </w:r>
      <w:r w:rsidR="00494BB9">
        <w:t xml:space="preserve">lesalers or retailers. The Fig. </w:t>
      </w:r>
      <w:r w:rsidRPr="004C56C4">
        <w:t>2 below sets out a high-level view of what the activity options are for corporate strategies and how they relate to solutions and climate targets. The SustainCERT impact solutions coloured orange identify outcomes that producers, feed lotters and processors could focus on within their own business model to meet the needs of buyers.</w:t>
      </w:r>
    </w:p>
    <w:p w14:paraId="2231C9C2" w14:textId="77777777" w:rsidR="00E11386" w:rsidRDefault="00E11386" w:rsidP="004C56C4">
      <w:pPr>
        <w:rPr>
          <w:rFonts w:cs="Arial"/>
          <w:b/>
          <w:bCs/>
        </w:rPr>
      </w:pPr>
    </w:p>
    <w:p w14:paraId="2490D9AD" w14:textId="77777777" w:rsidR="00E11386" w:rsidRDefault="00E11386" w:rsidP="004C56C4">
      <w:pPr>
        <w:rPr>
          <w:rFonts w:cs="Arial"/>
          <w:b/>
          <w:bCs/>
        </w:rPr>
      </w:pPr>
    </w:p>
    <w:p w14:paraId="7635F072" w14:textId="77777777" w:rsidR="00E11386" w:rsidRDefault="00E11386" w:rsidP="004C56C4">
      <w:pPr>
        <w:rPr>
          <w:rFonts w:cs="Arial"/>
          <w:b/>
          <w:bCs/>
        </w:rPr>
      </w:pPr>
    </w:p>
    <w:p w14:paraId="377C2D20" w14:textId="77777777" w:rsidR="00E11386" w:rsidRDefault="00E11386" w:rsidP="004C56C4">
      <w:pPr>
        <w:rPr>
          <w:rFonts w:cs="Arial"/>
          <w:b/>
          <w:bCs/>
        </w:rPr>
      </w:pPr>
    </w:p>
    <w:p w14:paraId="75193477" w14:textId="77777777" w:rsidR="00E11386" w:rsidRDefault="00E11386" w:rsidP="004C56C4">
      <w:pPr>
        <w:rPr>
          <w:rFonts w:cs="Arial"/>
          <w:b/>
          <w:bCs/>
        </w:rPr>
      </w:pPr>
    </w:p>
    <w:p w14:paraId="5520FE48" w14:textId="02BF046B" w:rsidR="004C56C4" w:rsidRPr="00BA4831" w:rsidRDefault="004C56C4" w:rsidP="004C56C4">
      <w:pPr>
        <w:rPr>
          <w:rFonts w:cs="Arial"/>
          <w:b/>
          <w:bCs/>
        </w:rPr>
      </w:pPr>
      <w:r w:rsidRPr="00BA4831">
        <w:rPr>
          <w:rFonts w:cs="Arial"/>
          <w:b/>
          <w:bCs/>
        </w:rPr>
        <w:lastRenderedPageBreak/>
        <w:t>Figure 2. A high-level overview of the types of corporate action being taken and how the solutions being sought drive demand and incentivise supply chain actors</w:t>
      </w:r>
    </w:p>
    <w:p w14:paraId="6DC7FDEC" w14:textId="77777777" w:rsidR="004C56C4" w:rsidRPr="004C56C4" w:rsidRDefault="004C56C4" w:rsidP="004C56C4">
      <w:pPr>
        <w:rPr>
          <w:rFonts w:cs="Arial"/>
          <w:b/>
          <w:sz w:val="24"/>
          <w:szCs w:val="24"/>
        </w:rPr>
      </w:pPr>
      <w:r w:rsidRPr="004C56C4">
        <w:rPr>
          <w:rFonts w:cs="Arial"/>
          <w:b/>
          <w:noProof/>
          <w:sz w:val="24"/>
          <w:szCs w:val="24"/>
          <w:lang w:eastAsia="en-AU"/>
        </w:rPr>
        <w:drawing>
          <wp:inline distT="0" distB="0" distL="0" distR="0" wp14:anchorId="770EA0D7" wp14:editId="073D4102">
            <wp:extent cx="5686890" cy="2914650"/>
            <wp:effectExtent l="0" t="0" r="9525" b="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rcRect r="454" b="9297"/>
                    <a:stretch/>
                  </pic:blipFill>
                  <pic:spPr bwMode="auto">
                    <a:xfrm>
                      <a:off x="0" y="0"/>
                      <a:ext cx="5688027" cy="2915233"/>
                    </a:xfrm>
                    <a:prstGeom prst="rect">
                      <a:avLst/>
                    </a:prstGeom>
                    <a:ln>
                      <a:noFill/>
                    </a:ln>
                    <a:extLst>
                      <a:ext uri="{53640926-AAD7-44D8-BBD7-CCE9431645EC}">
                        <a14:shadowObscured xmlns:a14="http://schemas.microsoft.com/office/drawing/2010/main"/>
                      </a:ext>
                    </a:extLst>
                  </pic:spPr>
                </pic:pic>
              </a:graphicData>
            </a:graphic>
          </wp:inline>
        </w:drawing>
      </w:r>
    </w:p>
    <w:p w14:paraId="15E64C5A" w14:textId="77777777" w:rsidR="004C56C4" w:rsidRDefault="004C56C4" w:rsidP="004C56C4">
      <w:pPr>
        <w:rPr>
          <w:rFonts w:cs="Arial"/>
        </w:rPr>
      </w:pPr>
    </w:p>
    <w:p w14:paraId="2C654AE9" w14:textId="2661EDA3" w:rsidR="004C56C4" w:rsidRPr="004C56C4" w:rsidRDefault="004C56C4" w:rsidP="004C56C4">
      <w:pPr>
        <w:rPr>
          <w:rFonts w:cs="Arial"/>
        </w:rPr>
      </w:pPr>
      <w:r w:rsidRPr="004C56C4">
        <w:rPr>
          <w:rFonts w:cs="Arial"/>
        </w:rPr>
        <w:t>The digital SustainCERT Platform has existing and ongoing pilot projects with partners, as discussed further in this report, to test the various features including digital monitoring, reporting, and verification, as well as improved emission factor tracking, transacting, and reporting. The continuous improvement and testing of the digital platform will include integration of new accounting rules as they are released, and adoption of guidance materials (details below). It is SustainCERT’s goal to continue to provide technical support to sector-wide working group partnerships and develop Value Change guidance documents (details below) that will enable improved verification and reporting across global supply chains.</w:t>
      </w:r>
    </w:p>
    <w:p w14:paraId="44F79001" w14:textId="77777777" w:rsidR="004C56C4" w:rsidRPr="004C56C4" w:rsidRDefault="004C56C4" w:rsidP="004C56C4">
      <w:pPr>
        <w:rPr>
          <w:rFonts w:cs="Arial"/>
        </w:rPr>
      </w:pPr>
      <w:r w:rsidRPr="004C56C4">
        <w:rPr>
          <w:rFonts w:cs="Arial"/>
        </w:rPr>
        <w:t>The GHG Protocol at the time of writing this report is managing a project called the Land Sector and Removals Initiative. This initiative is developing new guidance on how companies account for and report the following activities in their greenhouse gas inventories:</w:t>
      </w:r>
    </w:p>
    <w:p w14:paraId="685C5B84" w14:textId="77777777" w:rsidR="004C56C4" w:rsidRPr="004C56C4" w:rsidRDefault="004C56C4" w:rsidP="004C56C4">
      <w:pPr>
        <w:numPr>
          <w:ilvl w:val="0"/>
          <w:numId w:val="23"/>
        </w:numPr>
        <w:rPr>
          <w:rFonts w:cs="Arial"/>
        </w:rPr>
      </w:pPr>
      <w:r w:rsidRPr="004C56C4">
        <w:rPr>
          <w:rFonts w:cs="Arial"/>
        </w:rPr>
        <w:t>Land use</w:t>
      </w:r>
    </w:p>
    <w:p w14:paraId="3A2FB909" w14:textId="77777777" w:rsidR="004C56C4" w:rsidRPr="004C56C4" w:rsidRDefault="004C56C4" w:rsidP="004C56C4">
      <w:pPr>
        <w:numPr>
          <w:ilvl w:val="0"/>
          <w:numId w:val="23"/>
        </w:numPr>
        <w:rPr>
          <w:rFonts w:cs="Arial"/>
        </w:rPr>
      </w:pPr>
      <w:r w:rsidRPr="004C56C4">
        <w:rPr>
          <w:rFonts w:cs="Arial"/>
        </w:rPr>
        <w:t>Land use change</w:t>
      </w:r>
    </w:p>
    <w:p w14:paraId="53DA5F31" w14:textId="77777777" w:rsidR="004C56C4" w:rsidRPr="004C56C4" w:rsidRDefault="004C56C4" w:rsidP="004C56C4">
      <w:pPr>
        <w:numPr>
          <w:ilvl w:val="0"/>
          <w:numId w:val="23"/>
        </w:numPr>
        <w:rPr>
          <w:rFonts w:cs="Arial"/>
        </w:rPr>
      </w:pPr>
      <w:r w:rsidRPr="004C56C4">
        <w:rPr>
          <w:rFonts w:cs="Arial"/>
        </w:rPr>
        <w:t>Carbon removals and storage</w:t>
      </w:r>
    </w:p>
    <w:p w14:paraId="7B82BB3B" w14:textId="77777777" w:rsidR="004C56C4" w:rsidRPr="004C56C4" w:rsidRDefault="004C56C4" w:rsidP="004C56C4">
      <w:pPr>
        <w:numPr>
          <w:ilvl w:val="0"/>
          <w:numId w:val="23"/>
        </w:numPr>
        <w:rPr>
          <w:rFonts w:cs="Arial"/>
        </w:rPr>
      </w:pPr>
      <w:r w:rsidRPr="004C56C4">
        <w:rPr>
          <w:rFonts w:cs="Arial"/>
        </w:rPr>
        <w:t xml:space="preserve">Bioenergy and other biogenic products </w:t>
      </w:r>
    </w:p>
    <w:p w14:paraId="6155BDDE" w14:textId="77777777" w:rsidR="004C56C4" w:rsidRPr="004C56C4" w:rsidRDefault="004C56C4" w:rsidP="004C56C4">
      <w:pPr>
        <w:numPr>
          <w:ilvl w:val="0"/>
          <w:numId w:val="23"/>
        </w:numPr>
        <w:rPr>
          <w:rFonts w:cs="Arial"/>
        </w:rPr>
      </w:pPr>
      <w:r w:rsidRPr="004C56C4">
        <w:rPr>
          <w:rFonts w:cs="Arial"/>
        </w:rPr>
        <w:t>Related topics</w:t>
      </w:r>
    </w:p>
    <w:p w14:paraId="3161DC2B" w14:textId="4006C96A" w:rsidR="004C56C4" w:rsidRPr="004C56C4" w:rsidRDefault="004C56C4" w:rsidP="004C56C4">
      <w:pPr>
        <w:rPr>
          <w:rFonts w:cs="Arial"/>
        </w:rPr>
      </w:pPr>
      <w:r w:rsidRPr="004C56C4">
        <w:rPr>
          <w:rFonts w:cs="Arial"/>
        </w:rPr>
        <w:t xml:space="preserve">This highly anticipated guidance aims to create more consistency and transparency in the way companies quantify and report GHG emissions and removals from land use, land use change, bioenergy and carbon removal technologies and track progress toward GHG mitigation goals, following a credible approach (GHG Protocol guidance 2021). The first phase of the process is expected to be completed in early 2022 with pilots to test the guidance later in the same year. This new guidance will inform the additional capacity and build out of the digital SustainCERT platform as it relates to removals (sequestration in soil or vegetation) – an expected outcome from the guidance </w:t>
      </w:r>
      <w:r w:rsidRPr="004C56C4">
        <w:rPr>
          <w:rFonts w:cs="Arial"/>
        </w:rPr>
        <w:lastRenderedPageBreak/>
        <w:t>explained by the question mark (?) for Scope 3 reporting in Fig. 2 above. Australian producers who are already familiar with removals may seek opportunities to have them included in supply chain reporting.</w:t>
      </w:r>
    </w:p>
    <w:p w14:paraId="12483464" w14:textId="77777777" w:rsidR="004C56C4" w:rsidRPr="004C56C4" w:rsidRDefault="004C56C4" w:rsidP="004C56C4">
      <w:pPr>
        <w:rPr>
          <w:rFonts w:cs="Arial"/>
        </w:rPr>
      </w:pPr>
      <w:r w:rsidRPr="004C56C4">
        <w:rPr>
          <w:rFonts w:cs="Arial"/>
        </w:rPr>
        <w:t xml:space="preserve">For buyers looking for low carbon red meat to fill their orders and provide credible corporate reporting data or to comply with any type of future carbon border adjustment tariff, the new guidance will be critical. For producers with targets for carbon neutral farms or products, or targets for operational net zero emissions, the pathways to carbon benefits differ. In the future, it can be anticipated that producers will set their targets and decide on the most appropriate pathways, dependent on what their buyers’ needs are. For small producers, opportunities to participate in a supply shed approach will emerge, made easier with the increased adoption of technology and digital farm management tools. Opportunities for increasing economic value for those at the head of the supply chain could be gained by offering a suite of solutions to buyers of red meat. </w:t>
      </w:r>
    </w:p>
    <w:p w14:paraId="1A9643BC" w14:textId="77777777" w:rsidR="00383300" w:rsidRPr="00383300" w:rsidRDefault="00AC178D" w:rsidP="00E11386">
      <w:pPr>
        <w:pStyle w:val="Heading2"/>
      </w:pPr>
      <w:r w:rsidRPr="0040139C">
        <w:t xml:space="preserve"> </w:t>
      </w:r>
      <w:bookmarkStart w:id="41" w:name="_Toc86672223"/>
      <w:bookmarkStart w:id="42" w:name="_Toc88494278"/>
      <w:r w:rsidR="00383300" w:rsidRPr="00383300">
        <w:t>Climate targets and claims</w:t>
      </w:r>
      <w:bookmarkEnd w:id="41"/>
      <w:bookmarkEnd w:id="42"/>
    </w:p>
    <w:p w14:paraId="1FBA5B03" w14:textId="0F2A89C8" w:rsidR="00AC178D" w:rsidRDefault="00383300" w:rsidP="00383300">
      <w:r w:rsidRPr="00383300">
        <w:t>Three of the most prominent climate targets/claims globally are Carbon Neutral, Net Zero, and Science Based Target. This section further discusses these targets/claims and how different carbon benefits like carbon credits, improved emission factors, and verified removals play into the red meat sector’s or downstream buyer's abilities to meet these targets.</w:t>
      </w:r>
    </w:p>
    <w:p w14:paraId="5E6E7EAB" w14:textId="77777777" w:rsidR="00D303EB" w:rsidRPr="00D303EB" w:rsidRDefault="00D303EB" w:rsidP="00D303EB">
      <w:pPr>
        <w:pStyle w:val="ListParagraph"/>
        <w:numPr>
          <w:ilvl w:val="1"/>
          <w:numId w:val="12"/>
        </w:numPr>
        <w:spacing w:after="160" w:line="259" w:lineRule="auto"/>
        <w:contextualSpacing w:val="0"/>
        <w:rPr>
          <w:b/>
          <w:vanish/>
        </w:rPr>
      </w:pPr>
      <w:bookmarkStart w:id="43" w:name="_Toc86672224"/>
    </w:p>
    <w:p w14:paraId="69474242" w14:textId="77777777" w:rsidR="00D303EB" w:rsidRPr="00D303EB" w:rsidRDefault="00D303EB" w:rsidP="00D303EB">
      <w:pPr>
        <w:pStyle w:val="ListParagraph"/>
        <w:numPr>
          <w:ilvl w:val="1"/>
          <w:numId w:val="12"/>
        </w:numPr>
        <w:spacing w:after="160" w:line="259" w:lineRule="auto"/>
        <w:contextualSpacing w:val="0"/>
        <w:rPr>
          <w:b/>
          <w:vanish/>
        </w:rPr>
      </w:pPr>
    </w:p>
    <w:p w14:paraId="15FC8787" w14:textId="230CF9DD" w:rsidR="004C56C4" w:rsidRPr="00E11386" w:rsidRDefault="004C56C4" w:rsidP="007C332D">
      <w:pPr>
        <w:pStyle w:val="Heading3"/>
      </w:pPr>
      <w:bookmarkStart w:id="44" w:name="_Toc88494279"/>
      <w:r w:rsidRPr="00E11386">
        <w:t>Carbon Neutral</w:t>
      </w:r>
      <w:bookmarkEnd w:id="43"/>
      <w:bookmarkEnd w:id="44"/>
    </w:p>
    <w:p w14:paraId="13E80104" w14:textId="77777777" w:rsidR="004C56C4" w:rsidRPr="004C56C4" w:rsidRDefault="004C56C4" w:rsidP="004C56C4">
      <w:r w:rsidRPr="004C56C4">
        <w:t>Carbon neutral is generally understood to describe an entity, company, product, service or event that has assessed the GHG emissions associated with that entity, then purchased an equivalent amount of carbon credits or offsets outside of their jurisdiction to compensate the residual emissions (Climate Active 2021). Carbon Neutrality as defined by the Carbon Neutral Protocol (2020) is the state achieved when the unabated GHG emissions within the boundary of the Subject (the GHG inventory) are compensated or balanced by emission reductions established under recognised carbon standards of an equal amount outside the boundary to achieve a status of zero for a period of time.</w:t>
      </w:r>
    </w:p>
    <w:p w14:paraId="467BA80E" w14:textId="7DF4CBF4" w:rsidR="004C56C4" w:rsidRPr="004C56C4" w:rsidRDefault="004C56C4" w:rsidP="004C56C4">
      <w:r w:rsidRPr="004C56C4">
        <w:t>To enable brand owners to make claims that their meat product is carbon neutral, the producer would be required to assess the emissions profile of that finished product and purchase compensatory carbon credits to offset the emissions. This assessment for carbon neutrality of a meat product does not happen at the farm gate - the emissions are calculated at the finished product stage of processing and include emissions from transport and packaging, as meat continues to generate more emissions as it goes through the supply chain. In Australia</w:t>
      </w:r>
      <w:r w:rsidR="007516DF">
        <w:t>,</w:t>
      </w:r>
      <w:r w:rsidRPr="004C56C4">
        <w:t xml:space="preserve"> there is a limited supply of carbon neutral red meat products available. The details of offsets purchased by these companies is available online if they are certified under the federal government’s Climate Active standard (Climate Active 2021</w:t>
      </w:r>
      <w:r w:rsidRPr="004C56C4">
        <w:rPr>
          <w:vertAlign w:val="superscript"/>
        </w:rPr>
        <w:t>1</w:t>
      </w:r>
      <w:r w:rsidRPr="004C56C4">
        <w:t>).</w:t>
      </w:r>
    </w:p>
    <w:p w14:paraId="10EB045E" w14:textId="77777777" w:rsidR="004C56C4" w:rsidRPr="004C56C4" w:rsidRDefault="004C56C4" w:rsidP="004C56C4">
      <w:r w:rsidRPr="004C56C4">
        <w:t>MLA’s Roadmap, Carbon Neutral by 2030, includes</w:t>
      </w:r>
      <w:r w:rsidRPr="004C56C4">
        <w:rPr>
          <w:i/>
          <w:iCs/>
        </w:rPr>
        <w:t xml:space="preserve"> ‘…an ambitious target for the Australian red meat and livestock industry to achieve net zero greenhouse gas emissions by 2030. This means that, by 2030, the industry aims to make no net release of GHG emissions into the atmosphere.</w:t>
      </w:r>
      <w:r w:rsidRPr="004C56C4">
        <w:t>’ (MLA 2020</w:t>
      </w:r>
      <w:r w:rsidRPr="004C56C4">
        <w:rPr>
          <w:vertAlign w:val="superscript"/>
        </w:rPr>
        <w:t>1</w:t>
      </w:r>
      <w:r w:rsidRPr="004C56C4">
        <w:t>)</w:t>
      </w:r>
    </w:p>
    <w:p w14:paraId="2313577A" w14:textId="77777777" w:rsidR="004C56C4" w:rsidRPr="004C56C4" w:rsidRDefault="004C56C4" w:rsidP="004C56C4">
      <w:r w:rsidRPr="004C56C4">
        <w:t>The Australian government has developed a standard ‘Climate Active’ certification that provides the process for assessing and certifying claims for carbon neutrality. This certification is currently for Australian based products and is not necessarily recognised in other jurisdictions.</w:t>
      </w:r>
    </w:p>
    <w:p w14:paraId="4BB3C3C7" w14:textId="19B2354E" w:rsidR="004C56C4" w:rsidRPr="004C56C4" w:rsidRDefault="004C56C4" w:rsidP="007C332D">
      <w:pPr>
        <w:pStyle w:val="Heading3"/>
      </w:pPr>
      <w:r w:rsidRPr="004C56C4">
        <w:br w:type="page"/>
      </w:r>
      <w:bookmarkStart w:id="45" w:name="_Toc86672225"/>
      <w:bookmarkStart w:id="46" w:name="_Toc88494280"/>
      <w:r w:rsidRPr="004C56C4">
        <w:lastRenderedPageBreak/>
        <w:t>Climate Active</w:t>
      </w:r>
      <w:bookmarkEnd w:id="45"/>
      <w:bookmarkEnd w:id="46"/>
      <w:r w:rsidRPr="004C56C4">
        <w:t xml:space="preserve"> </w:t>
      </w:r>
    </w:p>
    <w:p w14:paraId="4A6A85AE" w14:textId="77777777" w:rsidR="004C56C4" w:rsidRPr="004C56C4" w:rsidRDefault="004C56C4" w:rsidP="004C56C4">
      <w:r w:rsidRPr="004C56C4">
        <w:t xml:space="preserve">Climate Active certification is for Australian business and organisations that have reached a state of achieving ‘net zero’ emissions or carbon neutrality. The Climate Active Carbon Neutral Standard is an Australian government initiative to guide and support businesses that choose to undertake voluntary climate action and wish to have their efforts certified and recognised. The standard requires an entity to complete the calculation of a carbon footprint and that entity may then purchase certified carbon units or retire their own to offset their emissions. The entity may also implement interventions to reduce their carbon footprint in accordance with an endorsed emissions reduction strategy. Climate Active accepts ACCUs and some international carbon units to balance an entity’s footprint. Climate Active certification is available for: </w:t>
      </w:r>
    </w:p>
    <w:p w14:paraId="73973CA0" w14:textId="77777777" w:rsidR="004C56C4" w:rsidRPr="004C56C4" w:rsidRDefault="004C56C4" w:rsidP="004C56C4">
      <w:pPr>
        <w:numPr>
          <w:ilvl w:val="0"/>
          <w:numId w:val="24"/>
        </w:numPr>
      </w:pPr>
      <w:r w:rsidRPr="004C56C4">
        <w:t>Business operations</w:t>
      </w:r>
    </w:p>
    <w:p w14:paraId="0BFDACDB" w14:textId="77777777" w:rsidR="004C56C4" w:rsidRPr="004C56C4" w:rsidRDefault="004C56C4" w:rsidP="004C56C4">
      <w:pPr>
        <w:numPr>
          <w:ilvl w:val="0"/>
          <w:numId w:val="24"/>
        </w:numPr>
      </w:pPr>
      <w:r w:rsidRPr="004C56C4">
        <w:t>Buildings and precincts</w:t>
      </w:r>
    </w:p>
    <w:p w14:paraId="1DDD023C" w14:textId="77777777" w:rsidR="004C56C4" w:rsidRPr="004C56C4" w:rsidRDefault="004C56C4" w:rsidP="004C56C4">
      <w:pPr>
        <w:numPr>
          <w:ilvl w:val="0"/>
          <w:numId w:val="24"/>
        </w:numPr>
      </w:pPr>
      <w:r w:rsidRPr="004C56C4">
        <w:t>Products</w:t>
      </w:r>
    </w:p>
    <w:p w14:paraId="42AB85DF" w14:textId="77777777" w:rsidR="004C56C4" w:rsidRPr="004C56C4" w:rsidRDefault="004C56C4" w:rsidP="004C56C4">
      <w:pPr>
        <w:numPr>
          <w:ilvl w:val="0"/>
          <w:numId w:val="24"/>
        </w:numPr>
      </w:pPr>
      <w:r w:rsidRPr="004C56C4">
        <w:t>Services</w:t>
      </w:r>
    </w:p>
    <w:p w14:paraId="493BA031" w14:textId="77777777" w:rsidR="004C56C4" w:rsidRPr="004C56C4" w:rsidRDefault="004C56C4" w:rsidP="004C56C4">
      <w:pPr>
        <w:numPr>
          <w:ilvl w:val="0"/>
          <w:numId w:val="24"/>
        </w:numPr>
      </w:pPr>
      <w:r w:rsidRPr="004C56C4">
        <w:t>Events (Climate Active 2021</w:t>
      </w:r>
      <w:r w:rsidRPr="004C56C4">
        <w:rPr>
          <w:vertAlign w:val="superscript"/>
        </w:rPr>
        <w:t>2</w:t>
      </w:r>
      <w:r w:rsidRPr="004C56C4">
        <w:t>)</w:t>
      </w:r>
    </w:p>
    <w:p w14:paraId="0F7D4C06" w14:textId="77777777" w:rsidR="004C56C4" w:rsidRPr="004C56C4" w:rsidRDefault="004C56C4" w:rsidP="004C56C4">
      <w:r w:rsidRPr="004C56C4">
        <w:t>In the context of the Australian red meat industry and the domestic market, red meat growers, processors, feedlot businesses and other affiliated businesses can all participate and potentially apply for certification under the Climate Active standard. Wiedemann and Longworth (2021) from Integrity Ag &amp; Environment, in collaboration with MLA, have recently published a technical manual to help guide feedlot businesses on a pathway to making carbon neutral claims. This manual specifically identifies steps towards Climate Active certification, with case studies. In 2019, the Australian Meat Processor Corporation (AMPC) released a technical document to guide meat processing businesses on their emission reduction pathways (AMPC 2019). MLA have developed resources to guide red meat growers on their pathway to carbon neutrality. However, enterprises should seek expert advice that is tailored to their business model.</w:t>
      </w:r>
    </w:p>
    <w:p w14:paraId="1D10474F" w14:textId="77777777" w:rsidR="004C56C4" w:rsidRPr="004C56C4" w:rsidRDefault="004C56C4" w:rsidP="007C332D">
      <w:pPr>
        <w:pStyle w:val="Heading3"/>
      </w:pPr>
      <w:bookmarkStart w:id="47" w:name="_Toc86672226"/>
      <w:bookmarkStart w:id="48" w:name="_Toc88494281"/>
      <w:r w:rsidRPr="004C56C4">
        <w:t>Net Zero</w:t>
      </w:r>
      <w:bookmarkEnd w:id="47"/>
      <w:bookmarkEnd w:id="48"/>
    </w:p>
    <w:p w14:paraId="148C6DC1" w14:textId="77777777" w:rsidR="004C56C4" w:rsidRPr="004C56C4" w:rsidRDefault="004C56C4" w:rsidP="004C56C4">
      <w:r w:rsidRPr="004C56C4">
        <w:t>Net zero emissions is often used interchangeably with carbon neutrality. Although it may be generally understood that both terms have similar outcomes, one of the key differences is that Net Zero is a target date whereas Carbon Neutral is a snapshot of a reporting period:</w:t>
      </w:r>
    </w:p>
    <w:p w14:paraId="2202D4D1" w14:textId="77777777" w:rsidR="004C56C4" w:rsidRDefault="004C56C4">
      <w:pPr>
        <w:rPr>
          <w:b/>
          <w:bCs/>
          <w:lang w:val="en-US"/>
        </w:rPr>
      </w:pPr>
      <w:r>
        <w:rPr>
          <w:b/>
          <w:bCs/>
          <w:lang w:val="en-US"/>
        </w:rPr>
        <w:br w:type="page"/>
      </w:r>
    </w:p>
    <w:p w14:paraId="6A5B4699" w14:textId="60907C71" w:rsidR="004C56C4" w:rsidRPr="00BA4831" w:rsidRDefault="004C56C4" w:rsidP="004C56C4">
      <w:pPr>
        <w:rPr>
          <w:b/>
          <w:bCs/>
          <w:lang w:val="en-US"/>
        </w:rPr>
      </w:pPr>
      <w:r w:rsidRPr="00BA4831">
        <w:rPr>
          <w:b/>
          <w:bCs/>
          <w:lang w:val="en-US"/>
        </w:rPr>
        <w:lastRenderedPageBreak/>
        <w:t xml:space="preserve">Figure 3. A comparison of Net Zero and Carbon Neutral based on the SBTi Net Zero Framework and the British Standards Institution PAS 2060 specification. </w:t>
      </w:r>
    </w:p>
    <w:p w14:paraId="4AB05258" w14:textId="77777777" w:rsidR="004C56C4" w:rsidRPr="004C56C4" w:rsidRDefault="004C56C4" w:rsidP="004C56C4">
      <w:r w:rsidRPr="004C56C4">
        <w:rPr>
          <w:noProof/>
          <w:lang w:eastAsia="en-AU"/>
        </w:rPr>
        <w:drawing>
          <wp:inline distT="0" distB="0" distL="0" distR="0" wp14:anchorId="01A512A8" wp14:editId="34C97021">
            <wp:extent cx="5100837" cy="3042285"/>
            <wp:effectExtent l="19050" t="19050" r="24130" b="24765"/>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3055" cy="3043608"/>
                    </a:xfrm>
                    <a:prstGeom prst="rect">
                      <a:avLst/>
                    </a:prstGeom>
                    <a:noFill/>
                    <a:ln>
                      <a:solidFill>
                        <a:schemeClr val="tx1"/>
                      </a:solidFill>
                    </a:ln>
                  </pic:spPr>
                </pic:pic>
              </a:graphicData>
            </a:graphic>
          </wp:inline>
        </w:drawing>
      </w:r>
    </w:p>
    <w:p w14:paraId="6953CFFC" w14:textId="77777777" w:rsidR="004C56C4" w:rsidRPr="004C56C4" w:rsidRDefault="004C56C4" w:rsidP="004C56C4">
      <w:r w:rsidRPr="004C56C4">
        <w:t xml:space="preserve">The requirements to meet the targets are explicit and impact on how a claim can be made. The Intergovernmental Panel on Climate Change (IPCC) provides a clear definition of net-zero: Net-zero emissions are reached when anthropogenic (i.e., human-caused) emissions of greenhouse gases to the atmosphere are balanced by anthropogenic removals over a specified period (IPCC 2018). </w:t>
      </w:r>
    </w:p>
    <w:p w14:paraId="4F5EE477" w14:textId="3C4D8AE7" w:rsidR="004C56C4" w:rsidRPr="004C56C4" w:rsidRDefault="004C56C4" w:rsidP="004C56C4">
      <w:pPr>
        <w:rPr>
          <w:lang w:val="en-US"/>
        </w:rPr>
      </w:pPr>
      <w:r w:rsidRPr="004C56C4">
        <w:rPr>
          <w:lang w:val="en-US"/>
        </w:rPr>
        <w:t>Since Net Zero is an end point, a reporting company must invest in removals on the way (removals cannot be switched on or acquired on the target date). These removals may be contracted bilaterally, or bought via a carbon credit, ideally from within the value chain. When the company has invested in these removals, it can make a ‘neutralisation claim’. Fig. 4 below demonstrates a representative trajectory of an entity reducing their footprint of residual emissions (grey bars), compensating their footprint with carbon credits (blue bars), and increasing removals (neutralisation) in line with the Climate Positive strategy for Net Zero as proposed by SBTi.</w:t>
      </w:r>
    </w:p>
    <w:p w14:paraId="066F94FB" w14:textId="77777777" w:rsidR="004C56C4" w:rsidRPr="004C56C4" w:rsidRDefault="004C56C4" w:rsidP="004C56C4">
      <w:pPr>
        <w:rPr>
          <w:lang w:val="en-US"/>
        </w:rPr>
      </w:pPr>
      <w:r w:rsidRPr="004C56C4">
        <w:rPr>
          <w:lang w:val="en-US"/>
        </w:rPr>
        <w:br w:type="page"/>
      </w:r>
    </w:p>
    <w:p w14:paraId="01B31C4E" w14:textId="77777777" w:rsidR="004C56C4" w:rsidRPr="004C56C4" w:rsidRDefault="004C56C4" w:rsidP="004C56C4">
      <w:pPr>
        <w:rPr>
          <w:b/>
          <w:bCs/>
        </w:rPr>
      </w:pPr>
      <w:r w:rsidRPr="004C56C4">
        <w:rPr>
          <w:b/>
          <w:bCs/>
          <w:lang w:val="en-US"/>
        </w:rPr>
        <w:lastRenderedPageBreak/>
        <w:t>Figure 4. The Climate Positive strategy proposed by SBTi for reaching Net Zero Source: SBTi, (2020) Foundations for Science-Based Net-Zero Target Setting in the Corporate Sector, Version 1.0, September 2020.</w:t>
      </w:r>
    </w:p>
    <w:p w14:paraId="4F519BE0" w14:textId="77777777" w:rsidR="004C56C4" w:rsidRPr="004C56C4" w:rsidRDefault="004C56C4" w:rsidP="00397EDF">
      <w:pPr>
        <w:jc w:val="center"/>
        <w:rPr>
          <w:lang w:val="en-US"/>
        </w:rPr>
      </w:pPr>
      <w:r w:rsidRPr="004C56C4">
        <w:rPr>
          <w:noProof/>
          <w:lang w:eastAsia="en-AU"/>
        </w:rPr>
        <w:drawing>
          <wp:inline distT="0" distB="0" distL="0" distR="0" wp14:anchorId="2EDF6534" wp14:editId="60539B79">
            <wp:extent cx="4293704" cy="381498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5631" cy="3825584"/>
                    </a:xfrm>
                    <a:prstGeom prst="rect">
                      <a:avLst/>
                    </a:prstGeom>
                    <a:noFill/>
                    <a:ln>
                      <a:noFill/>
                    </a:ln>
                  </pic:spPr>
                </pic:pic>
              </a:graphicData>
            </a:graphic>
          </wp:inline>
        </w:drawing>
      </w:r>
    </w:p>
    <w:p w14:paraId="08D5BB6B" w14:textId="77777777" w:rsidR="004C56C4" w:rsidRPr="004C56C4" w:rsidRDefault="004C56C4" w:rsidP="004C56C4">
      <w:r w:rsidRPr="004C56C4">
        <w:t xml:space="preserve">For the red meat sector to be represented by the diagram in Fig. 4, a red meat producer could make a net zero emissions claim for their farm by accounting for on-farm activities such as a vegetation or soil sequestration project to balance their residual GHG emissions profile. </w:t>
      </w:r>
    </w:p>
    <w:p w14:paraId="0A83B697" w14:textId="77777777" w:rsidR="004C56C4" w:rsidRPr="004C56C4" w:rsidRDefault="004C56C4" w:rsidP="004C56C4">
      <w:r w:rsidRPr="004C56C4">
        <w:t xml:space="preserve">With the growing call for carbon farming and land stewardship to be linked at a landscape scale rather than isolated interventions at the emissions source or sink (Landscape taskforce 2021), a producer could potentially have an emissions profile where the removals are greater than the generation of emissions. This could potentially generate revenue from the excess carbon credits generated, this is termed as a ‘carbon positive’ status while still making claims of net zero emissions at the farm gate. Carbon positive status represents an overachievement in net zero emissions, this status has also been referred to as ‘carbon negative’, in this context we are applying the ‘positive’ term, which is aligned with the SBTi terminology (SBTi 2020). This requires collaboration and agreement on the terms of the zero net emissions status so that it can be passed down through the supply chain to avoid double counting and to ensure that the owner of actions for avoiding or removing emissions is rewarded and credible reporting is assured.  </w:t>
      </w:r>
    </w:p>
    <w:p w14:paraId="7A00739A" w14:textId="77777777" w:rsidR="004C56C4" w:rsidRPr="004C56C4" w:rsidRDefault="004C56C4" w:rsidP="007C332D">
      <w:pPr>
        <w:pStyle w:val="Heading3"/>
      </w:pPr>
      <w:bookmarkStart w:id="49" w:name="_Toc86672227"/>
      <w:bookmarkStart w:id="50" w:name="_Toc88494282"/>
      <w:r w:rsidRPr="004C56C4">
        <w:t>Science Based Targets</w:t>
      </w:r>
      <w:bookmarkEnd w:id="49"/>
      <w:bookmarkEnd w:id="50"/>
      <w:r w:rsidRPr="004C56C4">
        <w:t xml:space="preserve"> </w:t>
      </w:r>
    </w:p>
    <w:p w14:paraId="7E5FD659" w14:textId="77777777" w:rsidR="004C56C4" w:rsidRPr="004C56C4" w:rsidRDefault="004C56C4" w:rsidP="004C56C4">
      <w:r w:rsidRPr="004C56C4">
        <w:t xml:space="preserve">Nearly a third of global emissions come from agriculture, forestry and other land use (Ritchie 2021). The global partnership that forms the Science-Based Target initiative (SBTi) is developing guidance for companies in land-intensive sectors to set science-based targets. Most importantly for Australian red meat producers is understanding how companies who have made commitments and set targets are addressing their supply chain emissions. Producers can then plan and take action in response, to </w:t>
      </w:r>
      <w:r w:rsidRPr="004C56C4">
        <w:lastRenderedPageBreak/>
        <w:t xml:space="preserve">meet the emerging demand for low carbon products coupled with a credible emission reporting process. </w:t>
      </w:r>
    </w:p>
    <w:p w14:paraId="3DAF1AD4" w14:textId="77777777" w:rsidR="004C56C4" w:rsidRPr="004C56C4" w:rsidRDefault="004C56C4" w:rsidP="004C56C4">
      <w:r w:rsidRPr="004C56C4">
        <w:t>Companies who have made commitments and set targets under the SBTi have committed to address Scope 1 and 2 emissions within their control and many are obligated to address Scope 3 emissions outside of their direct control, where Scope 3 is ≥ 40% of total profile (SBTi 2021). The SBTi Guidance document, Value Change in the Value Chain: Best Practices in Scope 3 Greenhouse Gas Management provides information to companies on taking steps to collecting and assessing Scope 3 emissions data and strategies to incentivise and address measurement and management systems within supply chains. Partnering with other sector actors is an important way forward for sharing the burden through the discovery period and the costs of resolving implementation issues (SBTi 2018). SustainCERT, as part of the global consortium, has been developing sector-specific guidance programs as part of the Value Change Initiative to assist corporates to navigate their way to better understanding their Scope 3 profile, and accounting for reductions to unlock corporate reporting requirements.</w:t>
      </w:r>
    </w:p>
    <w:p w14:paraId="7B424220" w14:textId="223A4DD7" w:rsidR="004C56C4" w:rsidRPr="004C56C4" w:rsidRDefault="004C56C4" w:rsidP="00E11386">
      <w:pPr>
        <w:pStyle w:val="Heading2"/>
      </w:pPr>
      <w:bookmarkStart w:id="51" w:name="_Toc86672228"/>
      <w:r>
        <w:t xml:space="preserve"> </w:t>
      </w:r>
      <w:bookmarkStart w:id="52" w:name="_Toc88494283"/>
      <w:r w:rsidRPr="004C56C4">
        <w:t>International risks for export of red meat</w:t>
      </w:r>
      <w:bookmarkEnd w:id="51"/>
      <w:bookmarkEnd w:id="52"/>
    </w:p>
    <w:p w14:paraId="37EFAF80" w14:textId="77777777" w:rsidR="004C56C4" w:rsidRPr="004C56C4" w:rsidRDefault="004C56C4" w:rsidP="004C56C4">
      <w:r w:rsidRPr="004C56C4">
        <w:t>SustainCERT have conducted a desktop assessment of risks to trade in the context of international agreements, commitments to climate goals, and level of commitment to targets by trading partners and competitors. The assessment also considered the emerging global initiatives for levelling the playing field, to encourage all global trading countries to increase ambition, and to ensure that any economy-wide carbon tax or price doesn’t disadvantage sectors competing with unpriced carbon content from other jurisdictions.</w:t>
      </w:r>
    </w:p>
    <w:p w14:paraId="012C8E4E" w14:textId="77777777" w:rsidR="004C56C4" w:rsidRPr="004C56C4" w:rsidRDefault="004C56C4" w:rsidP="004C56C4">
      <w:r w:rsidRPr="004C56C4">
        <w:t>In the context of international climate agreements and trade, Australia’s low level of climate ambition and continued maintenance of a taxpayer-funded voluntary market without a carbon price mechanism, exposes Australian trade to rapidly changing climate policy environments. The emerging risks to trade relate to the unpriced carbon content of goods and services and the levers that large trading jurisdictions can use to level the playing field are to not only encourage increasing ambition on climate policy, but to potentially punish trading partners that don’t.</w:t>
      </w:r>
    </w:p>
    <w:p w14:paraId="255C00C8" w14:textId="73C348B1" w:rsidR="004C56C4" w:rsidRPr="004C56C4" w:rsidRDefault="004C56C4" w:rsidP="004C56C4">
      <w:r w:rsidRPr="004C56C4">
        <w:t>Australian beef is exported to over 100 countries. MLA’s global market report (2021) states the export market was worth over A$11 billion, with 1.2 million tonnes of shipped weight during 2019/20. The global pandemic has affected trade of Australian meat products, as it has with other commodities, but is not expected to have a long-term impact. As Fig. 5</w:t>
      </w:r>
      <w:r w:rsidR="00EF32A0">
        <w:t xml:space="preserve"> </w:t>
      </w:r>
      <w:r w:rsidRPr="004C56C4">
        <w:t xml:space="preserve">shows below, the US imports a large volume of Australian beef and is Australia’s most comparable competitor, with sales into many of the same markets </w:t>
      </w:r>
      <w:r w:rsidRPr="004C56C4">
        <w:softHyphen/>
        <w:t>— they have a highly efficient industry. Australia’s most important markets are regional, with Japan being the most valuable and China the greatest volume (MLA market reports 2021). Although European import of Australian meat is low volumes, there are opportunities to capture more of that market if Australia can address the imminent penalties on the carbon content of goods.</w:t>
      </w:r>
    </w:p>
    <w:p w14:paraId="6DF47327" w14:textId="6DD2E6D4" w:rsidR="004C56C4" w:rsidRDefault="004C56C4">
      <w:r>
        <w:br w:type="page"/>
      </w:r>
    </w:p>
    <w:p w14:paraId="3C7DF671" w14:textId="77777777" w:rsidR="004C56C4" w:rsidRPr="002645D4" w:rsidRDefault="004C56C4" w:rsidP="004C56C4">
      <w:pPr>
        <w:jc w:val="both"/>
        <w:rPr>
          <w:b/>
          <w:bCs/>
        </w:rPr>
      </w:pPr>
      <w:r w:rsidRPr="002645D4">
        <w:rPr>
          <w:b/>
          <w:bCs/>
        </w:rPr>
        <w:lastRenderedPageBreak/>
        <w:t xml:space="preserve">Figure </w:t>
      </w:r>
      <w:r>
        <w:rPr>
          <w:b/>
          <w:bCs/>
        </w:rPr>
        <w:t>5</w:t>
      </w:r>
      <w:r w:rsidRPr="002645D4">
        <w:rPr>
          <w:b/>
          <w:bCs/>
        </w:rPr>
        <w:t xml:space="preserve">. Australia’s competitors and countries that import Australian beef. </w:t>
      </w:r>
      <w:r>
        <w:rPr>
          <w:b/>
          <w:bCs/>
        </w:rPr>
        <w:t>Data s</w:t>
      </w:r>
      <w:r w:rsidRPr="002645D4">
        <w:rPr>
          <w:b/>
          <w:bCs/>
        </w:rPr>
        <w:t>ource</w:t>
      </w:r>
      <w:r>
        <w:rPr>
          <w:b/>
          <w:bCs/>
        </w:rPr>
        <w:t xml:space="preserve">s: </w:t>
      </w:r>
      <w:r w:rsidRPr="002645D4">
        <w:rPr>
          <w:b/>
          <w:bCs/>
        </w:rPr>
        <w:t>MLA 2020</w:t>
      </w:r>
      <w:r w:rsidRPr="00000D8B">
        <w:rPr>
          <w:b/>
          <w:bCs/>
          <w:vertAlign w:val="superscript"/>
        </w:rPr>
        <w:t>2</w:t>
      </w:r>
      <w:r w:rsidRPr="002645D4">
        <w:rPr>
          <w:b/>
          <w:bCs/>
        </w:rPr>
        <w:t xml:space="preserve"> &amp; </w:t>
      </w:r>
      <w:r>
        <w:rPr>
          <w:b/>
          <w:bCs/>
        </w:rPr>
        <w:t>Australian Bureau of Agricultural and Resource Economics (2020)</w:t>
      </w:r>
    </w:p>
    <w:p w14:paraId="4EEE340C" w14:textId="76CD9F91" w:rsidR="00383300" w:rsidRPr="0040139C" w:rsidRDefault="004C56C4" w:rsidP="00383300">
      <w:r w:rsidRPr="002645D4">
        <w:rPr>
          <w:noProof/>
          <w:color w:val="2B579A"/>
          <w:shd w:val="clear" w:color="auto" w:fill="E6E6E6"/>
          <w:lang w:eastAsia="en-AU"/>
        </w:rPr>
        <w:drawing>
          <wp:inline distT="0" distB="0" distL="0" distR="0" wp14:anchorId="496F6560" wp14:editId="3D2C80BA">
            <wp:extent cx="5731510" cy="364426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644265"/>
                    </a:xfrm>
                    <a:prstGeom prst="rect">
                      <a:avLst/>
                    </a:prstGeom>
                    <a:noFill/>
                    <a:ln>
                      <a:noFill/>
                    </a:ln>
                  </pic:spPr>
                </pic:pic>
              </a:graphicData>
            </a:graphic>
          </wp:inline>
        </w:drawing>
      </w:r>
    </w:p>
    <w:p w14:paraId="675BB217" w14:textId="4F10C2C9" w:rsidR="002F1B0B" w:rsidRPr="00D03791" w:rsidRDefault="002F1B0B" w:rsidP="002F1B0B">
      <w:pPr>
        <w:spacing w:after="0" w:line="240" w:lineRule="auto"/>
        <w:rPr>
          <w:rFonts w:cs="Arial"/>
          <w:i/>
        </w:rPr>
      </w:pPr>
      <w:r w:rsidRPr="00D03791">
        <w:rPr>
          <w:rFonts w:cs="Arial"/>
          <w:i/>
        </w:rPr>
        <w:t>.</w:t>
      </w:r>
    </w:p>
    <w:p w14:paraId="43CC01CF" w14:textId="02C72FA9" w:rsidR="002F1B0B" w:rsidRDefault="002F1B0B" w:rsidP="002F1B0B">
      <w:pPr>
        <w:spacing w:after="0" w:line="240" w:lineRule="auto"/>
        <w:rPr>
          <w:rFonts w:cs="Arial"/>
        </w:rPr>
      </w:pPr>
    </w:p>
    <w:p w14:paraId="2E7C1108" w14:textId="0454F883" w:rsidR="00C825D4" w:rsidRDefault="004C56C4" w:rsidP="002F1B0B">
      <w:pPr>
        <w:spacing w:after="0" w:line="240" w:lineRule="auto"/>
        <w:rPr>
          <w:rFonts w:cs="Arial"/>
        </w:rPr>
      </w:pPr>
      <w:r w:rsidRPr="004C56C4">
        <w:rPr>
          <w:rFonts w:cs="Arial"/>
        </w:rPr>
        <w:t>The Australian red meat industry is under external pressure from consumers, corporates, government, and supply chain actors to find solutions to reduce the carbon footprint of the sector, particularly from beef as the highest source of enteric methane. Despite the ambitions and the goals of the industry, there are still multiple barriers to progress and scale. Barriers such as technology, carbon methods and accounting tools, affordable finance, knowledge and expertise are constraining the industry from decarbonising the sector’s footprint. The term decarbonise is used in the context of the emissions profile and how it is reflected in the National Inventory, not in relation to the natural carbon cycle.</w:t>
      </w:r>
    </w:p>
    <w:p w14:paraId="57959E8F" w14:textId="69E95104" w:rsidR="00C825D4" w:rsidRDefault="00C825D4" w:rsidP="002F1B0B">
      <w:pPr>
        <w:spacing w:after="0" w:line="240" w:lineRule="auto"/>
        <w:rPr>
          <w:rFonts w:cs="Arial"/>
        </w:rPr>
      </w:pPr>
    </w:p>
    <w:p w14:paraId="36D5F3B3" w14:textId="22FC41CD" w:rsidR="004C56C4" w:rsidRDefault="004C56C4">
      <w:pPr>
        <w:rPr>
          <w:rFonts w:cs="Arial"/>
        </w:rPr>
      </w:pPr>
      <w:r>
        <w:rPr>
          <w:rFonts w:cs="Arial"/>
        </w:rPr>
        <w:br w:type="page"/>
      </w:r>
    </w:p>
    <w:p w14:paraId="792E1299" w14:textId="25005C4A" w:rsidR="004C56C4" w:rsidRPr="00885C2D" w:rsidRDefault="004C56C4" w:rsidP="004C56C4">
      <w:pPr>
        <w:jc w:val="both"/>
        <w:rPr>
          <w:b/>
          <w:bCs/>
        </w:rPr>
      </w:pPr>
      <w:r w:rsidRPr="00885C2D">
        <w:rPr>
          <w:b/>
          <w:bCs/>
        </w:rPr>
        <w:lastRenderedPageBreak/>
        <w:t>Figure 6</w:t>
      </w:r>
      <w:r w:rsidR="00BA4831">
        <w:rPr>
          <w:b/>
          <w:bCs/>
        </w:rPr>
        <w:t>.</w:t>
      </w:r>
      <w:r w:rsidRPr="00885C2D">
        <w:rPr>
          <w:b/>
          <w:bCs/>
        </w:rPr>
        <w:t xml:space="preserve"> </w:t>
      </w:r>
      <w:r>
        <w:rPr>
          <w:b/>
          <w:bCs/>
        </w:rPr>
        <w:t>C</w:t>
      </w:r>
      <w:r w:rsidRPr="00885C2D">
        <w:rPr>
          <w:b/>
          <w:bCs/>
        </w:rPr>
        <w:t xml:space="preserve">ountries that are </w:t>
      </w:r>
      <w:r>
        <w:rPr>
          <w:b/>
          <w:bCs/>
        </w:rPr>
        <w:t>Australia’s c</w:t>
      </w:r>
      <w:r w:rsidRPr="00885C2D">
        <w:rPr>
          <w:b/>
          <w:bCs/>
        </w:rPr>
        <w:t xml:space="preserve">ompetitors and trading partners and have climate commitments and </w:t>
      </w:r>
      <w:r>
        <w:rPr>
          <w:b/>
          <w:bCs/>
        </w:rPr>
        <w:t xml:space="preserve">the </w:t>
      </w:r>
      <w:r w:rsidRPr="00885C2D">
        <w:rPr>
          <w:b/>
          <w:bCs/>
        </w:rPr>
        <w:t xml:space="preserve">strength of those commitments </w:t>
      </w:r>
      <w:r>
        <w:rPr>
          <w:b/>
          <w:bCs/>
        </w:rPr>
        <w:t>in the context of</w:t>
      </w:r>
      <w:r w:rsidRPr="00885C2D">
        <w:rPr>
          <w:b/>
          <w:bCs/>
        </w:rPr>
        <w:t xml:space="preserve"> risk. (Score was determined as: Paris agreement being the lowest level of commitment and legislated climate targets and a price on carbon (tax or ETS) being the</w:t>
      </w:r>
      <w:r>
        <w:rPr>
          <w:b/>
          <w:bCs/>
        </w:rPr>
        <w:t xml:space="preserve"> equal</w:t>
      </w:r>
      <w:r w:rsidRPr="00885C2D">
        <w:rPr>
          <w:b/>
          <w:bCs/>
        </w:rPr>
        <w:t xml:space="preserve"> highest commitment) Data sources: Climate Action Tracker, Energy and Climate Intelligence Unit &amp; the World Bank</w:t>
      </w:r>
    </w:p>
    <w:p w14:paraId="42750D25" w14:textId="19E152E9" w:rsidR="00C825D4" w:rsidRDefault="00397EDF" w:rsidP="00397EDF">
      <w:pPr>
        <w:spacing w:after="0" w:line="240" w:lineRule="auto"/>
        <w:jc w:val="center"/>
        <w:rPr>
          <w:rFonts w:cs="Arial"/>
        </w:rPr>
      </w:pPr>
      <w:r w:rsidRPr="005D6F3E">
        <w:rPr>
          <w:noProof/>
          <w:color w:val="2B579A"/>
          <w:shd w:val="clear" w:color="auto" w:fill="E6E6E6"/>
          <w:lang w:eastAsia="en-AU"/>
        </w:rPr>
        <w:drawing>
          <wp:inline distT="0" distB="0" distL="0" distR="0" wp14:anchorId="743667D1" wp14:editId="4DAA1A29">
            <wp:extent cx="5343277" cy="75305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0794" cy="7541189"/>
                    </a:xfrm>
                    <a:prstGeom prst="rect">
                      <a:avLst/>
                    </a:prstGeom>
                    <a:noFill/>
                    <a:ln>
                      <a:noFill/>
                    </a:ln>
                  </pic:spPr>
                </pic:pic>
              </a:graphicData>
            </a:graphic>
          </wp:inline>
        </w:drawing>
      </w:r>
    </w:p>
    <w:p w14:paraId="4EC77384" w14:textId="50AFC66F" w:rsidR="004C56C4" w:rsidRDefault="004C56C4" w:rsidP="002F1B0B">
      <w:pPr>
        <w:spacing w:after="0" w:line="240" w:lineRule="auto"/>
        <w:rPr>
          <w:rFonts w:cs="Arial"/>
        </w:rPr>
      </w:pPr>
    </w:p>
    <w:p w14:paraId="2CBC116F" w14:textId="67857327" w:rsidR="004C56C4" w:rsidRDefault="004C56C4" w:rsidP="004C56C4">
      <w:pPr>
        <w:spacing w:after="0" w:line="240" w:lineRule="auto"/>
        <w:rPr>
          <w:rFonts w:cs="Arial"/>
        </w:rPr>
      </w:pPr>
      <w:r w:rsidRPr="004C56C4">
        <w:rPr>
          <w:rFonts w:cs="Arial"/>
        </w:rPr>
        <w:lastRenderedPageBreak/>
        <w:t xml:space="preserve">The risks to international trade come from several fronts, in particular, the risk posed by incompatible climate targets with trading partners is one that has the drawn the attention of the sector. The European Commission’s recent endorsement of the introduction of a Carbon Border Adjustment Mechanism (CBAM) and its implications for Australia and emissions intensive trade exposed industries (EITE) has been analysed and assessed by various groups, including the Australian Industry Group (AIG 2021). The purpose of the mechanism is to enable carbon pricing to operate effectively across the global economy as the free allocations are wound back within the EU Emissions Trading Scheme. Countries like Australia, without an economy wide price on carbon and a lack of comparable ambition towards GHG emission reductions will be taxed based on the carbon content of their exported goods (Muller </w:t>
      </w:r>
      <w:r w:rsidRPr="004C56C4">
        <w:rPr>
          <w:rFonts w:cs="Arial"/>
          <w:i/>
          <w:iCs/>
        </w:rPr>
        <w:t>et al</w:t>
      </w:r>
      <w:r w:rsidRPr="004C56C4">
        <w:rPr>
          <w:rFonts w:cs="Arial"/>
        </w:rPr>
        <w:t xml:space="preserve"> 2021). Although the CBAM is not expected to have a direct impact on agriculture in the short term, the indirect impacts will eventually reverberate across all exports. Economies that do not currently include agriculture in national or subnational schemes including the EU will be looking for all sectors to contribute towards future more ambitious targets including 2030 (Wyatt 2021). Australian governments and exporters will need to address all goods and prioritise those that are exposed. </w:t>
      </w:r>
    </w:p>
    <w:p w14:paraId="059F80BA" w14:textId="77777777" w:rsidR="004C56C4" w:rsidRPr="004C56C4" w:rsidRDefault="004C56C4" w:rsidP="004C56C4">
      <w:pPr>
        <w:spacing w:after="0" w:line="240" w:lineRule="auto"/>
        <w:rPr>
          <w:rFonts w:cs="Arial"/>
        </w:rPr>
      </w:pPr>
    </w:p>
    <w:p w14:paraId="45F58E30" w14:textId="5714DD32" w:rsidR="004C56C4" w:rsidRPr="004C56C4" w:rsidRDefault="004C56C4" w:rsidP="004C56C4">
      <w:pPr>
        <w:spacing w:after="0" w:line="240" w:lineRule="auto"/>
        <w:rPr>
          <w:rFonts w:cs="Arial"/>
        </w:rPr>
      </w:pPr>
      <w:r w:rsidRPr="004C56C4">
        <w:rPr>
          <w:rFonts w:cs="Arial"/>
        </w:rPr>
        <w:t>The risks to Australian trade have been assessed in the context of the CBAM that has been adopted by the European Commission. Fig. 6</w:t>
      </w:r>
      <w:r w:rsidR="00EF32A0">
        <w:rPr>
          <w:rFonts w:cs="Arial"/>
        </w:rPr>
        <w:t xml:space="preserve"> </w:t>
      </w:r>
      <w:r w:rsidRPr="004C56C4">
        <w:rPr>
          <w:rFonts w:cs="Arial"/>
        </w:rPr>
        <w:t>above presents a current snapshot in time of Australia’s key trading partners and the risk of a CBAM or similar policy coming into effect over the next eight to ten years. The score for the commitment level is assigned to each country based on being a signatory to the Paris Agreement, targets for net zero (with a higher score being assigned to countries that have a price on carbon), an Emissions Trading Scheme and climate commitments enshrined in law. The trade risk is influenced by whether we have a trading or competitive relationship weighed against the commitment to a CBAM or similar strategy. The risk for trade is quite fluid as trade agreements, disagreements and a rapidly changing climate policy environment are all considered as variables. The dynamics of climate policy is not expected to be any more stable post COP 26 in November 2021, and risks to trade are anticipated to increase.</w:t>
      </w:r>
    </w:p>
    <w:p w14:paraId="60918F00" w14:textId="75421B0B" w:rsidR="004C56C4" w:rsidRDefault="004C56C4" w:rsidP="002F1B0B">
      <w:pPr>
        <w:spacing w:after="0" w:line="240" w:lineRule="auto"/>
        <w:rPr>
          <w:rFonts w:cs="Arial"/>
        </w:rPr>
      </w:pPr>
    </w:p>
    <w:p w14:paraId="2197C66C" w14:textId="074C35C3" w:rsidR="004C56C4" w:rsidRPr="004C56C4" w:rsidRDefault="00360C40" w:rsidP="00E11386">
      <w:pPr>
        <w:pStyle w:val="Heading2"/>
      </w:pPr>
      <w:bookmarkStart w:id="53" w:name="_Toc86672229"/>
      <w:r>
        <w:t xml:space="preserve">   </w:t>
      </w:r>
      <w:bookmarkStart w:id="54" w:name="_Toc88494284"/>
      <w:r w:rsidR="004C56C4" w:rsidRPr="004C56C4">
        <w:t>Label options for low or zero carbon beef</w:t>
      </w:r>
      <w:bookmarkEnd w:id="53"/>
      <w:bookmarkEnd w:id="54"/>
    </w:p>
    <w:p w14:paraId="56A3E039" w14:textId="0A84308B" w:rsidR="004C56C4" w:rsidRDefault="004C56C4" w:rsidP="004C56C4">
      <w:pPr>
        <w:spacing w:after="0" w:line="240" w:lineRule="auto"/>
        <w:rPr>
          <w:rFonts w:cs="Arial"/>
        </w:rPr>
      </w:pPr>
      <w:r w:rsidRPr="004C56C4">
        <w:rPr>
          <w:rFonts w:cs="Arial"/>
        </w:rPr>
        <w:t>There are various ways for a carbon benefit to be publicised. In addition to corporate GHG reporting in frameworks like CDP, many companies make narrative claims through annual sustainability reports or through product labels. Labels exist for various existing mechanisms such as the Australian government, Cli</w:t>
      </w:r>
      <w:r w:rsidR="00EF32A0">
        <w:rPr>
          <w:rFonts w:cs="Arial"/>
        </w:rPr>
        <w:t xml:space="preserve">mate Active as is shown in Fig. </w:t>
      </w:r>
      <w:r w:rsidRPr="004C56C4">
        <w:rPr>
          <w:rFonts w:cs="Arial"/>
        </w:rPr>
        <w:t xml:space="preserve">7 and Eco-Score, which is a European based program. The Climate Active Carbon Neutral Certification trademark was established to give entities a credible stamp against their carbon neutral claim for a product, building, organisation or other neutrality boundary, and to provide consumers a credible view of carbon neutral purchasing options. The label is simple but states the entity and therefore the requirements that led to the carbon neutral finding and also states the high-level boundary of the claim (product, service, etc.). The Carbon Neutral Protocol has a similar range of labels to those of Climate Active. Alternate boundaries for self-defined claims could also be around Scope 1, 2, or 3 or in relation to a specific step of the supply chain. </w:t>
      </w:r>
    </w:p>
    <w:p w14:paraId="0FDDC973" w14:textId="77777777" w:rsidR="004C56C4" w:rsidRPr="004C56C4" w:rsidRDefault="004C56C4" w:rsidP="004C56C4">
      <w:pPr>
        <w:spacing w:after="0" w:line="240" w:lineRule="auto"/>
        <w:rPr>
          <w:rFonts w:cs="Arial"/>
        </w:rPr>
      </w:pPr>
    </w:p>
    <w:p w14:paraId="67DDC405" w14:textId="77777777" w:rsidR="004C56C4" w:rsidRPr="004C56C4" w:rsidRDefault="004C56C4" w:rsidP="004C56C4">
      <w:pPr>
        <w:spacing w:after="0" w:line="240" w:lineRule="auto"/>
        <w:rPr>
          <w:rFonts w:cs="Arial"/>
          <w:b/>
          <w:bCs/>
        </w:rPr>
      </w:pPr>
      <w:r w:rsidRPr="004C56C4">
        <w:rPr>
          <w:rFonts w:cs="Arial"/>
          <w:b/>
          <w:bCs/>
        </w:rPr>
        <w:t>Figure 7. Climate Active Carbon Neutral Certification options. Source: Climate Active (2021</w:t>
      </w:r>
      <w:r w:rsidRPr="004C56C4">
        <w:rPr>
          <w:rFonts w:cs="Arial"/>
          <w:b/>
          <w:bCs/>
          <w:vertAlign w:val="superscript"/>
        </w:rPr>
        <w:t>2</w:t>
      </w:r>
      <w:r w:rsidRPr="004C56C4">
        <w:rPr>
          <w:rFonts w:cs="Arial"/>
          <w:b/>
          <w:bCs/>
        </w:rPr>
        <w:t>)</w:t>
      </w:r>
    </w:p>
    <w:p w14:paraId="41B5E170" w14:textId="77777777" w:rsidR="004C56C4" w:rsidRPr="004C56C4" w:rsidRDefault="004C56C4" w:rsidP="004C56C4">
      <w:pPr>
        <w:spacing w:after="0" w:line="240" w:lineRule="auto"/>
        <w:rPr>
          <w:rFonts w:cs="Arial"/>
        </w:rPr>
      </w:pPr>
      <w:r w:rsidRPr="004C56C4">
        <w:rPr>
          <w:rFonts w:cs="Arial"/>
          <w:noProof/>
          <w:lang w:eastAsia="en-AU"/>
        </w:rPr>
        <w:drawing>
          <wp:inline distT="0" distB="0" distL="0" distR="0" wp14:anchorId="6F90357C" wp14:editId="0A60C625">
            <wp:extent cx="5060950" cy="957795"/>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3363" cy="967714"/>
                    </a:xfrm>
                    <a:prstGeom prst="rect">
                      <a:avLst/>
                    </a:prstGeom>
                    <a:noFill/>
                    <a:ln>
                      <a:noFill/>
                    </a:ln>
                  </pic:spPr>
                </pic:pic>
              </a:graphicData>
            </a:graphic>
          </wp:inline>
        </w:drawing>
      </w:r>
    </w:p>
    <w:p w14:paraId="7996558F" w14:textId="77777777" w:rsidR="004C56C4" w:rsidRPr="004C56C4" w:rsidRDefault="004C56C4" w:rsidP="004C56C4">
      <w:pPr>
        <w:spacing w:after="0" w:line="240" w:lineRule="auto"/>
        <w:rPr>
          <w:rFonts w:cs="Arial"/>
        </w:rPr>
      </w:pPr>
    </w:p>
    <w:p w14:paraId="175D40EB" w14:textId="56813E35" w:rsidR="004C56C4" w:rsidRPr="004C56C4" w:rsidRDefault="004C56C4" w:rsidP="004C56C4">
      <w:pPr>
        <w:spacing w:after="0" w:line="240" w:lineRule="auto"/>
        <w:rPr>
          <w:rFonts w:cs="Arial"/>
        </w:rPr>
      </w:pPr>
      <w:r w:rsidRPr="004C56C4">
        <w:rPr>
          <w:rFonts w:cs="Arial"/>
        </w:rPr>
        <w:lastRenderedPageBreak/>
        <w:t>Eco-Score is a food-based program and takes a different approach from Climate Active with a rating system. The Eco-Score information presented in Fig. 8 calculates the environmental footprint of a product from farm to fork. In addition to the life cycle assessment calculation, bonus or penalty points are issued for several attributes including product origin, certification such as organic or fair trade, packaging, biodiversity, and seasonality. For example, food coming from Australia to European supermarket shelves would potentially have penalty points for transport distance.</w:t>
      </w:r>
    </w:p>
    <w:p w14:paraId="7C738B63" w14:textId="0CA68811" w:rsidR="00360C40" w:rsidRDefault="00360C40">
      <w:pPr>
        <w:rPr>
          <w:rFonts w:cs="Arial"/>
        </w:rPr>
      </w:pPr>
    </w:p>
    <w:p w14:paraId="11C4DEEB" w14:textId="77777777" w:rsidR="00360C40" w:rsidRPr="00360C40" w:rsidRDefault="00360C40" w:rsidP="00360C40">
      <w:pPr>
        <w:spacing w:after="0" w:line="240" w:lineRule="auto"/>
        <w:rPr>
          <w:rFonts w:cs="Arial"/>
          <w:b/>
          <w:bCs/>
        </w:rPr>
      </w:pPr>
      <w:r w:rsidRPr="00360C40">
        <w:rPr>
          <w:rFonts w:cs="Arial"/>
          <w:b/>
          <w:bCs/>
        </w:rPr>
        <w:t>Figure 8. Eco-Score Considerations and example label. Source: Eco-Score (2021)</w:t>
      </w:r>
    </w:p>
    <w:p w14:paraId="48A88F20" w14:textId="77777777" w:rsidR="00360C40" w:rsidRPr="00360C40" w:rsidRDefault="00360C40" w:rsidP="00360C40">
      <w:pPr>
        <w:spacing w:after="0" w:line="240" w:lineRule="auto"/>
        <w:rPr>
          <w:rFonts w:cs="Arial"/>
        </w:rPr>
      </w:pPr>
      <w:r w:rsidRPr="00360C40">
        <w:rPr>
          <w:rFonts w:cs="Arial"/>
          <w:noProof/>
          <w:lang w:eastAsia="en-AU"/>
        </w:rPr>
        <w:drawing>
          <wp:inline distT="0" distB="0" distL="0" distR="0" wp14:anchorId="3BB1F8C5" wp14:editId="1AD057C0">
            <wp:extent cx="5620703" cy="2786932"/>
            <wp:effectExtent l="0" t="0" r="0" b="0"/>
            <wp:docPr id="1814092871" name="Picture 181409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649162" cy="2801043"/>
                    </a:xfrm>
                    <a:prstGeom prst="rect">
                      <a:avLst/>
                    </a:prstGeom>
                  </pic:spPr>
                </pic:pic>
              </a:graphicData>
            </a:graphic>
          </wp:inline>
        </w:drawing>
      </w:r>
    </w:p>
    <w:p w14:paraId="568F1F96" w14:textId="77777777" w:rsidR="00360C40" w:rsidRDefault="00360C40" w:rsidP="00360C40">
      <w:pPr>
        <w:spacing w:after="0" w:line="240" w:lineRule="auto"/>
        <w:rPr>
          <w:rFonts w:cs="Arial"/>
        </w:rPr>
      </w:pPr>
    </w:p>
    <w:p w14:paraId="0587897B" w14:textId="065D53C9" w:rsidR="00360C40" w:rsidRPr="00360C40" w:rsidRDefault="00360C40" w:rsidP="00360C40">
      <w:pPr>
        <w:spacing w:after="0" w:line="240" w:lineRule="auto"/>
        <w:rPr>
          <w:rFonts w:cs="Arial"/>
        </w:rPr>
      </w:pPr>
      <w:r w:rsidRPr="00360C40">
        <w:rPr>
          <w:rFonts w:cs="Arial"/>
        </w:rPr>
        <w:t xml:space="preserve">Companies also have the option to define their own claim or label to represent their climate benefit. For example, where an </w:t>
      </w:r>
      <w:r w:rsidRPr="00360C40">
        <w:rPr>
          <w:rFonts w:cs="Arial"/>
          <w:lang w:val="en-US"/>
        </w:rPr>
        <w:t xml:space="preserve">entity’s footprint is affected by an emissions reduction intervention, they have the ability to self-define narrative claims and labels made regarding their technology and service (e.g., use of "low carbon" descriptors for beef marketing. </w:t>
      </w:r>
      <w:r w:rsidRPr="00360C40">
        <w:rPr>
          <w:rFonts w:cs="Arial"/>
        </w:rPr>
        <w:t>The graphic below in Fig. 9 maps out how different types of activities and climate benefits could result in various claim and label options.</w:t>
      </w:r>
    </w:p>
    <w:p w14:paraId="0A08B3F6" w14:textId="7A3838B5" w:rsidR="004C56C4" w:rsidRDefault="004C56C4" w:rsidP="002F1B0B">
      <w:pPr>
        <w:spacing w:after="0" w:line="240" w:lineRule="auto"/>
        <w:rPr>
          <w:rFonts w:cs="Arial"/>
        </w:rPr>
      </w:pPr>
    </w:p>
    <w:p w14:paraId="7811CDE7" w14:textId="77777777" w:rsidR="00360C40" w:rsidRDefault="00360C40">
      <w:pPr>
        <w:rPr>
          <w:rFonts w:cs="Arial"/>
        </w:rPr>
        <w:sectPr w:rsidR="00360C40" w:rsidSect="00BA4831">
          <w:headerReference w:type="default" r:id="rId24"/>
          <w:footerReference w:type="default" r:id="rId25"/>
          <w:headerReference w:type="first" r:id="rId26"/>
          <w:pgSz w:w="11906" w:h="16838"/>
          <w:pgMar w:top="1440" w:right="1440" w:bottom="1440" w:left="1440" w:header="708" w:footer="708" w:gutter="0"/>
          <w:cols w:space="708"/>
          <w:titlePg/>
          <w:docGrid w:linePitch="360"/>
        </w:sectPr>
      </w:pPr>
    </w:p>
    <w:p w14:paraId="1E5EB7E5" w14:textId="7D05961A" w:rsidR="00360C40" w:rsidRPr="008B3A5B" w:rsidRDefault="00360C40" w:rsidP="00360C40">
      <w:pPr>
        <w:rPr>
          <w:b/>
          <w:bCs/>
        </w:rPr>
      </w:pPr>
      <w:r w:rsidRPr="7AE0751B">
        <w:rPr>
          <w:b/>
          <w:bCs/>
        </w:rPr>
        <w:lastRenderedPageBreak/>
        <w:t>Figure 9. Pathway options that a producer can take and examples of the different claims that can be made depending on the route.</w:t>
      </w:r>
    </w:p>
    <w:p w14:paraId="32C18D28" w14:textId="77777777" w:rsidR="00360C40" w:rsidRDefault="00360C40" w:rsidP="00360C40">
      <w:pPr>
        <w:tabs>
          <w:tab w:val="left" w:pos="2366"/>
        </w:tabs>
        <w:jc w:val="both"/>
      </w:pPr>
      <w:r w:rsidRPr="008B3A5B">
        <w:rPr>
          <w:noProof/>
          <w:color w:val="2B579A"/>
          <w:shd w:val="clear" w:color="auto" w:fill="E6E6E6"/>
          <w:lang w:eastAsia="en-AU"/>
        </w:rPr>
        <w:drawing>
          <wp:inline distT="0" distB="0" distL="0" distR="0" wp14:anchorId="7AE18BBE" wp14:editId="39BB0198">
            <wp:extent cx="8659934" cy="4019107"/>
            <wp:effectExtent l="0" t="0" r="8255" b="635"/>
            <wp:docPr id="1066972039" name="Picture 106697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08302" cy="4041555"/>
                    </a:xfrm>
                    <a:prstGeom prst="rect">
                      <a:avLst/>
                    </a:prstGeom>
                    <a:noFill/>
                    <a:ln>
                      <a:noFill/>
                    </a:ln>
                  </pic:spPr>
                </pic:pic>
              </a:graphicData>
            </a:graphic>
          </wp:inline>
        </w:drawing>
      </w:r>
    </w:p>
    <w:p w14:paraId="4650FD84" w14:textId="77777777" w:rsidR="00360C40" w:rsidRPr="00E13351" w:rsidRDefault="00360C40" w:rsidP="00360C40">
      <w:pPr>
        <w:tabs>
          <w:tab w:val="left" w:pos="2366"/>
        </w:tabs>
        <w:rPr>
          <w:lang w:val="en-US"/>
        </w:rPr>
      </w:pPr>
      <w:r>
        <w:rPr>
          <w:lang w:val="en-US"/>
        </w:rPr>
        <w:t>When self-defining terms or labels,</w:t>
      </w:r>
      <w:r w:rsidRPr="00E13351">
        <w:rPr>
          <w:lang w:val="en-US"/>
        </w:rPr>
        <w:t xml:space="preserve"> it is recommended from a reputational risk standpoint to follow globally accepted frameworks and guidance. In this case, SustainCERT recommends the following guiding principles</w:t>
      </w:r>
      <w:r>
        <w:rPr>
          <w:lang w:val="en-US"/>
        </w:rPr>
        <w:t xml:space="preserve"> for claims made through labels</w:t>
      </w:r>
      <w:r w:rsidRPr="00E13351">
        <w:rPr>
          <w:lang w:val="en-US"/>
        </w:rPr>
        <w:t>:</w:t>
      </w:r>
    </w:p>
    <w:p w14:paraId="2C1A7D75" w14:textId="77777777" w:rsidR="00360C40" w:rsidRPr="00570552" w:rsidRDefault="00360C40" w:rsidP="00360C40">
      <w:pPr>
        <w:pStyle w:val="ListParagraph"/>
        <w:numPr>
          <w:ilvl w:val="0"/>
          <w:numId w:val="29"/>
        </w:numPr>
        <w:tabs>
          <w:tab w:val="left" w:pos="2366"/>
        </w:tabs>
        <w:spacing w:after="0"/>
        <w:contextualSpacing w:val="0"/>
        <w:rPr>
          <w:lang w:val="en-US"/>
        </w:rPr>
      </w:pPr>
      <w:r w:rsidRPr="00570552">
        <w:rPr>
          <w:lang w:val="en-US"/>
        </w:rPr>
        <w:t>Claims should be true, accurate and verifiable, within a reasonable tolerance</w:t>
      </w:r>
    </w:p>
    <w:p w14:paraId="0F4BB671" w14:textId="77777777" w:rsidR="00360C40" w:rsidRPr="00570552" w:rsidRDefault="00360C40" w:rsidP="00360C40">
      <w:pPr>
        <w:pStyle w:val="ListParagraph"/>
        <w:numPr>
          <w:ilvl w:val="0"/>
          <w:numId w:val="29"/>
        </w:numPr>
        <w:tabs>
          <w:tab w:val="left" w:pos="2366"/>
        </w:tabs>
        <w:spacing w:after="0"/>
        <w:contextualSpacing w:val="0"/>
        <w:rPr>
          <w:lang w:val="en-US"/>
        </w:rPr>
      </w:pPr>
      <w:r w:rsidRPr="00570552">
        <w:rPr>
          <w:lang w:val="en-US"/>
        </w:rPr>
        <w:t>Claims should be measured, reasonable, transparent, well defined, simple to understand and contain no ‘</w:t>
      </w:r>
      <w:r>
        <w:rPr>
          <w:lang w:val="en-US"/>
        </w:rPr>
        <w:t>significant</w:t>
      </w:r>
      <w:r w:rsidRPr="00570552">
        <w:rPr>
          <w:lang w:val="en-US"/>
        </w:rPr>
        <w:t xml:space="preserve"> omission</w:t>
      </w:r>
      <w:r>
        <w:rPr>
          <w:lang w:val="en-US"/>
        </w:rPr>
        <w:t>s</w:t>
      </w:r>
      <w:r w:rsidRPr="00570552">
        <w:rPr>
          <w:lang w:val="en-US"/>
        </w:rPr>
        <w:t>’</w:t>
      </w:r>
    </w:p>
    <w:p w14:paraId="66A2C4B8" w14:textId="77777777" w:rsidR="00360C40" w:rsidRPr="00F35C1D" w:rsidRDefault="00360C40" w:rsidP="00360C40">
      <w:pPr>
        <w:pStyle w:val="ListParagraph"/>
        <w:numPr>
          <w:ilvl w:val="0"/>
          <w:numId w:val="29"/>
        </w:numPr>
        <w:tabs>
          <w:tab w:val="left" w:pos="2366"/>
        </w:tabs>
        <w:spacing w:after="0"/>
        <w:contextualSpacing w:val="0"/>
        <w:rPr>
          <w:lang w:val="en-US"/>
        </w:rPr>
      </w:pPr>
      <w:r w:rsidRPr="00570552">
        <w:rPr>
          <w:lang w:val="en-US"/>
        </w:rPr>
        <w:t xml:space="preserve">Underlying actions, attributes and information should add up to support the claims </w:t>
      </w:r>
      <w:r w:rsidRPr="00F35C1D">
        <w:rPr>
          <w:lang w:val="en-US"/>
        </w:rPr>
        <w:t>made in labels</w:t>
      </w:r>
    </w:p>
    <w:p w14:paraId="31730B1C" w14:textId="77777777" w:rsidR="00360C40" w:rsidRDefault="00360C40" w:rsidP="002D68E5">
      <w:pPr>
        <w:pStyle w:val="ListParagraph"/>
        <w:numPr>
          <w:ilvl w:val="0"/>
          <w:numId w:val="29"/>
        </w:numPr>
        <w:tabs>
          <w:tab w:val="left" w:pos="2366"/>
        </w:tabs>
        <w:spacing w:after="0"/>
        <w:contextualSpacing w:val="0"/>
        <w:rPr>
          <w:lang w:val="en-US"/>
        </w:rPr>
        <w:sectPr w:rsidR="00360C40" w:rsidSect="00360C40">
          <w:headerReference w:type="default" r:id="rId28"/>
          <w:footerReference w:type="default" r:id="rId29"/>
          <w:pgSz w:w="16838" w:h="11906" w:orient="landscape"/>
          <w:pgMar w:top="1440" w:right="1440" w:bottom="1440" w:left="1440" w:header="708" w:footer="708" w:gutter="0"/>
          <w:cols w:space="708"/>
          <w:titlePg/>
          <w:docGrid w:linePitch="360"/>
        </w:sectPr>
      </w:pPr>
      <w:r w:rsidRPr="00360C40">
        <w:rPr>
          <w:lang w:val="en-US"/>
        </w:rPr>
        <w:t>Claims made should be respectful of and not undermine third party mechanisms.</w:t>
      </w:r>
    </w:p>
    <w:p w14:paraId="1978C199" w14:textId="00AF2F07" w:rsidR="00360C40" w:rsidRPr="00360C40" w:rsidRDefault="00360C40" w:rsidP="00360C40">
      <w:pPr>
        <w:pStyle w:val="ListParagraph"/>
        <w:tabs>
          <w:tab w:val="left" w:pos="2366"/>
        </w:tabs>
        <w:spacing w:after="0"/>
        <w:ind w:left="0"/>
        <w:contextualSpacing w:val="0"/>
      </w:pPr>
      <w:r w:rsidRPr="00360C40">
        <w:rPr>
          <w:rFonts w:cs="Arial"/>
        </w:rPr>
        <w:lastRenderedPageBreak/>
        <w:t>B</w:t>
      </w:r>
      <w:r w:rsidRPr="00360C40">
        <w:rPr>
          <w:lang w:val="en-US"/>
        </w:rPr>
        <w:t xml:space="preserve">ased on conversations had with stakeholders as part of this assessment, ‘low carbon’ would be a desired primary claim which does not fit into an existing defined mechanism, giving users the opportunity to self-define. The key to a credible claim is to follow the guiding principles above. Above all, the claim behind the label must be fully transparent with the definitions, boundaries of what was included in the analysis and of goods impacted, calculation data (what is the average emission factor the company is showing improve against, what is it source, what is improved emission factor, how was it calculated, etc.), and any known shortcomings of the assessment. While the technical information will not fit on the label itself, information can be made available on a linked source providing interested parties reference to the information supporting a credible claim. </w:t>
      </w:r>
    </w:p>
    <w:p w14:paraId="2DE2F4D1" w14:textId="0DF87BAE" w:rsidR="004C56C4" w:rsidRDefault="004C56C4" w:rsidP="002F1B0B">
      <w:pPr>
        <w:spacing w:after="0" w:line="240" w:lineRule="auto"/>
        <w:rPr>
          <w:rFonts w:cs="Arial"/>
        </w:rPr>
      </w:pPr>
    </w:p>
    <w:p w14:paraId="446198FF" w14:textId="0F3E05D0" w:rsidR="00E87144" w:rsidRDefault="00E87144" w:rsidP="00E11386">
      <w:pPr>
        <w:pStyle w:val="Heading2"/>
      </w:pPr>
      <w:bookmarkStart w:id="55" w:name="_Toc86672230"/>
      <w:bookmarkStart w:id="56" w:name="_Toc88494285"/>
      <w:r w:rsidRPr="00E87144">
        <w:t>Review of industry preferred interventions, methodologies and tools</w:t>
      </w:r>
      <w:bookmarkEnd w:id="55"/>
      <w:bookmarkEnd w:id="56"/>
    </w:p>
    <w:p w14:paraId="6F374D7E" w14:textId="7F9F4A28" w:rsidR="00E87144" w:rsidRPr="00E87144" w:rsidRDefault="00E87144" w:rsidP="00E87144">
      <w:pPr>
        <w:spacing w:after="0" w:line="240" w:lineRule="auto"/>
        <w:rPr>
          <w:rFonts w:cs="Arial"/>
        </w:rPr>
      </w:pPr>
      <w:r w:rsidRPr="00E87144">
        <w:rPr>
          <w:rFonts w:cs="Arial"/>
        </w:rPr>
        <w:t xml:space="preserve">The industry preferred interventions included in this assessment are summarised as well as the available </w:t>
      </w:r>
      <w:r w:rsidR="007516DF">
        <w:rPr>
          <w:rFonts w:cs="Arial"/>
        </w:rPr>
        <w:t xml:space="preserve">methodologies in the following Table </w:t>
      </w:r>
      <w:r w:rsidRPr="00E87144">
        <w:rPr>
          <w:rFonts w:cs="Arial"/>
        </w:rPr>
        <w:t xml:space="preserve">1. Carbon standards do allow for submission of new and revised methodologies where available methodologies do not suffice. As previously noted, methodologies approved for the generation of carbon credits are preferred for calculating improved emission factors due to the high level of rigour required for carbon accounting. </w:t>
      </w:r>
    </w:p>
    <w:p w14:paraId="37A4D954" w14:textId="77777777" w:rsidR="00E87144" w:rsidRPr="00E87144" w:rsidRDefault="00E87144" w:rsidP="00E87144">
      <w:pPr>
        <w:spacing w:after="0" w:line="240" w:lineRule="auto"/>
        <w:rPr>
          <w:rFonts w:cs="Arial"/>
        </w:rPr>
        <w:sectPr w:rsidR="00E87144" w:rsidRPr="00E87144" w:rsidSect="00E87144">
          <w:type w:val="continuous"/>
          <w:pgSz w:w="11906" w:h="16838"/>
          <w:pgMar w:top="1440" w:right="1440" w:bottom="1440" w:left="1440" w:header="708" w:footer="708" w:gutter="0"/>
          <w:cols w:space="708"/>
          <w:titlePg/>
          <w:docGrid w:linePitch="360"/>
        </w:sectPr>
      </w:pPr>
      <w:r w:rsidRPr="00E87144">
        <w:rPr>
          <w:rFonts w:cs="Arial"/>
        </w:rPr>
        <w:t xml:space="preserve">Table 2 goes into further detail about specific tools existing under current Emissions Reduction Fund methodologies as well as other commonly used tools and software programs by producers participating in carbon projects in Australia. For improved emission factors and verified removals, relevant tools can be submitted to SustainCERT for validation prior to SustainCERT verifying the emission factor or removal calculations. Tools accepted by carbon standards will receive fast tracked validation. </w:t>
      </w:r>
    </w:p>
    <w:p w14:paraId="49897501" w14:textId="77777777" w:rsidR="00E87144" w:rsidRDefault="00E87144" w:rsidP="002F1B0B">
      <w:pPr>
        <w:spacing w:after="0" w:line="240" w:lineRule="auto"/>
        <w:rPr>
          <w:rFonts w:cs="Arial"/>
        </w:rPr>
        <w:sectPr w:rsidR="00E87144" w:rsidSect="00360C40">
          <w:type w:val="continuous"/>
          <w:pgSz w:w="11906" w:h="16838"/>
          <w:pgMar w:top="1440" w:right="1440" w:bottom="1440" w:left="1440" w:header="708" w:footer="708" w:gutter="0"/>
          <w:cols w:space="708"/>
          <w:titlePg/>
          <w:docGrid w:linePitch="360"/>
        </w:sectPr>
      </w:pPr>
    </w:p>
    <w:p w14:paraId="5F734226" w14:textId="77777777" w:rsidR="00E87144" w:rsidRPr="004A1605" w:rsidRDefault="00E87144" w:rsidP="00E87144">
      <w:pPr>
        <w:jc w:val="both"/>
        <w:rPr>
          <w:b/>
          <w:bCs/>
        </w:rPr>
      </w:pPr>
      <w:r w:rsidRPr="004A1605">
        <w:rPr>
          <w:b/>
          <w:bCs/>
        </w:rPr>
        <w:lastRenderedPageBreak/>
        <w:t>Table 1. Summary of Industry preferred interventions under key carbon credit programs</w:t>
      </w:r>
    </w:p>
    <w:tbl>
      <w:tblPr>
        <w:tblStyle w:val="TableGrid1"/>
        <w:tblW w:w="5000" w:type="pct"/>
        <w:tblLook w:val="04A0" w:firstRow="1" w:lastRow="0" w:firstColumn="1" w:lastColumn="0" w:noHBand="0" w:noVBand="1"/>
      </w:tblPr>
      <w:tblGrid>
        <w:gridCol w:w="1328"/>
        <w:gridCol w:w="2904"/>
        <w:gridCol w:w="1043"/>
        <w:gridCol w:w="3032"/>
        <w:gridCol w:w="2731"/>
        <w:gridCol w:w="2910"/>
      </w:tblGrid>
      <w:tr w:rsidR="00E87144" w:rsidRPr="004A1605" w14:paraId="2B659738" w14:textId="77777777" w:rsidTr="002D68E5">
        <w:trPr>
          <w:trHeight w:val="98"/>
        </w:trPr>
        <w:tc>
          <w:tcPr>
            <w:tcW w:w="476" w:type="pct"/>
          </w:tcPr>
          <w:p w14:paraId="63BD8E1C" w14:textId="77777777" w:rsidR="00E87144" w:rsidRPr="004A1605" w:rsidRDefault="00E87144" w:rsidP="002D68E5">
            <w:pPr>
              <w:rPr>
                <w:rFonts w:ascii="Calibri" w:eastAsia="Calibri" w:hAnsi="Calibri" w:cs="Arial"/>
                <w:b/>
                <w:bCs/>
                <w:sz w:val="20"/>
                <w:szCs w:val="20"/>
              </w:rPr>
            </w:pPr>
            <w:r w:rsidRPr="004A1605">
              <w:rPr>
                <w:rFonts w:ascii="Calibri" w:eastAsia="Calibri" w:hAnsi="Calibri" w:cs="Arial"/>
                <w:b/>
                <w:bCs/>
                <w:sz w:val="20"/>
                <w:szCs w:val="20"/>
              </w:rPr>
              <w:t>Intervention</w:t>
            </w:r>
          </w:p>
        </w:tc>
        <w:tc>
          <w:tcPr>
            <w:tcW w:w="1041" w:type="pct"/>
          </w:tcPr>
          <w:p w14:paraId="7A01ADFF" w14:textId="77777777" w:rsidR="00E87144" w:rsidRPr="004A1605" w:rsidRDefault="00E87144" w:rsidP="002D68E5">
            <w:pPr>
              <w:rPr>
                <w:rFonts w:ascii="Calibri" w:eastAsia="Calibri" w:hAnsi="Calibri" w:cs="Arial"/>
                <w:b/>
                <w:bCs/>
                <w:sz w:val="20"/>
                <w:szCs w:val="20"/>
              </w:rPr>
            </w:pPr>
            <w:r w:rsidRPr="004A1605">
              <w:rPr>
                <w:rFonts w:ascii="Calibri" w:eastAsia="Calibri" w:hAnsi="Calibri" w:cs="Arial"/>
                <w:b/>
                <w:bCs/>
                <w:sz w:val="20"/>
                <w:szCs w:val="20"/>
              </w:rPr>
              <w:t>Description</w:t>
            </w:r>
          </w:p>
        </w:tc>
        <w:tc>
          <w:tcPr>
            <w:tcW w:w="374" w:type="pct"/>
          </w:tcPr>
          <w:p w14:paraId="2D7D0A12" w14:textId="77777777" w:rsidR="00E87144" w:rsidRPr="004A1605" w:rsidRDefault="00E87144" w:rsidP="002D68E5">
            <w:pPr>
              <w:rPr>
                <w:rFonts w:ascii="Calibri" w:eastAsia="Calibri" w:hAnsi="Calibri" w:cs="Arial"/>
                <w:b/>
                <w:bCs/>
                <w:sz w:val="20"/>
                <w:szCs w:val="20"/>
              </w:rPr>
            </w:pPr>
            <w:r w:rsidRPr="004A1605">
              <w:rPr>
                <w:rFonts w:ascii="Calibri" w:eastAsia="Calibri" w:hAnsi="Calibri" w:cs="Arial"/>
                <w:b/>
                <w:bCs/>
                <w:sz w:val="20"/>
                <w:szCs w:val="20"/>
              </w:rPr>
              <w:t>Type</w:t>
            </w:r>
          </w:p>
        </w:tc>
        <w:tc>
          <w:tcPr>
            <w:tcW w:w="1087" w:type="pct"/>
          </w:tcPr>
          <w:p w14:paraId="30F826E3" w14:textId="77777777" w:rsidR="00E87144" w:rsidRPr="004A1605" w:rsidRDefault="00E87144" w:rsidP="002D68E5">
            <w:pPr>
              <w:rPr>
                <w:rFonts w:ascii="Calibri" w:eastAsia="Calibri" w:hAnsi="Calibri" w:cs="Arial"/>
                <w:b/>
                <w:bCs/>
                <w:sz w:val="20"/>
                <w:szCs w:val="20"/>
              </w:rPr>
            </w:pPr>
            <w:r w:rsidRPr="004A1605">
              <w:rPr>
                <w:rFonts w:ascii="Calibri" w:eastAsia="Calibri" w:hAnsi="Calibri" w:cs="Arial"/>
                <w:b/>
                <w:bCs/>
                <w:sz w:val="20"/>
                <w:szCs w:val="20"/>
              </w:rPr>
              <w:t xml:space="preserve">ERF Methodologies </w:t>
            </w:r>
          </w:p>
        </w:tc>
        <w:tc>
          <w:tcPr>
            <w:tcW w:w="979" w:type="pct"/>
          </w:tcPr>
          <w:p w14:paraId="3AF89DD8" w14:textId="77777777" w:rsidR="00E87144" w:rsidRPr="004A1605" w:rsidRDefault="00E87144" w:rsidP="002D68E5">
            <w:pPr>
              <w:rPr>
                <w:rFonts w:ascii="Calibri" w:eastAsia="Calibri" w:hAnsi="Calibri" w:cs="Arial"/>
                <w:b/>
                <w:bCs/>
                <w:sz w:val="20"/>
                <w:szCs w:val="20"/>
              </w:rPr>
            </w:pPr>
            <w:r w:rsidRPr="004A1605">
              <w:rPr>
                <w:rFonts w:ascii="Calibri" w:eastAsia="Calibri" w:hAnsi="Calibri" w:cs="Arial"/>
                <w:b/>
                <w:bCs/>
                <w:sz w:val="20"/>
                <w:szCs w:val="20"/>
              </w:rPr>
              <w:t>Gold Standard Methodologies</w:t>
            </w:r>
          </w:p>
        </w:tc>
        <w:tc>
          <w:tcPr>
            <w:tcW w:w="1043" w:type="pct"/>
          </w:tcPr>
          <w:p w14:paraId="6ECC36F7" w14:textId="77777777" w:rsidR="00E87144" w:rsidRPr="004A1605" w:rsidRDefault="00E87144" w:rsidP="002D68E5">
            <w:pPr>
              <w:rPr>
                <w:rFonts w:ascii="Calibri" w:eastAsia="Calibri" w:hAnsi="Calibri" w:cs="Arial"/>
                <w:b/>
                <w:bCs/>
                <w:sz w:val="20"/>
                <w:szCs w:val="20"/>
              </w:rPr>
            </w:pPr>
            <w:r w:rsidRPr="004A1605">
              <w:rPr>
                <w:rFonts w:ascii="Calibri" w:eastAsia="Calibri" w:hAnsi="Calibri" w:cs="Arial"/>
                <w:b/>
                <w:bCs/>
                <w:sz w:val="20"/>
                <w:szCs w:val="20"/>
              </w:rPr>
              <w:t>Verra Methodologies</w:t>
            </w:r>
          </w:p>
        </w:tc>
      </w:tr>
      <w:tr w:rsidR="00E87144" w:rsidRPr="004A1605" w14:paraId="516134D5" w14:textId="77777777" w:rsidTr="002D68E5">
        <w:tc>
          <w:tcPr>
            <w:tcW w:w="476" w:type="pct"/>
          </w:tcPr>
          <w:p w14:paraId="736711FD"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Enteric Fermentation Reducing Feed Additive</w:t>
            </w:r>
          </w:p>
        </w:tc>
        <w:tc>
          <w:tcPr>
            <w:tcW w:w="1041" w:type="pct"/>
          </w:tcPr>
          <w:p w14:paraId="5429FE29"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Reduction of methane from livestock digestion through feed additives</w:t>
            </w:r>
          </w:p>
        </w:tc>
        <w:tc>
          <w:tcPr>
            <w:tcW w:w="374" w:type="pct"/>
          </w:tcPr>
          <w:p w14:paraId="6A08506C"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Reduction</w:t>
            </w:r>
          </w:p>
        </w:tc>
        <w:tc>
          <w:tcPr>
            <w:tcW w:w="1087" w:type="pct"/>
          </w:tcPr>
          <w:p w14:paraId="5C021DCB"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 Reducing greenhouse gas emissions in beef cattle through feeding nitrate containing supplements method</w:t>
            </w:r>
          </w:p>
          <w:p w14:paraId="583DD76D"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 Accepted tools: Nitrates Calculator</w:t>
            </w:r>
          </w:p>
        </w:tc>
        <w:tc>
          <w:tcPr>
            <w:tcW w:w="979" w:type="pct"/>
          </w:tcPr>
          <w:p w14:paraId="577E52E7"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A methodology for beef cattle could be proposed for approval by GS (a version exists for dairy cows).</w:t>
            </w:r>
          </w:p>
        </w:tc>
        <w:tc>
          <w:tcPr>
            <w:tcW w:w="1043" w:type="pct"/>
          </w:tcPr>
          <w:p w14:paraId="243F4DBF"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 VM0041 Methodology for the Reduction of Enteric Methane Emissions from Ruminants through the Use of 100% Natural Feed Supplement, v1.0</w:t>
            </w:r>
          </w:p>
          <w:p w14:paraId="2B966C75"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 xml:space="preserve">- Accepted tools:  Respiration chambers, laser system for methane detection, automated head chambers </w:t>
            </w:r>
          </w:p>
          <w:p w14:paraId="44CB96B3"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 Currently under review to increase rigour in assessing project emissions and removing requirement for ‘plant based’ only supplements</w:t>
            </w:r>
          </w:p>
        </w:tc>
      </w:tr>
      <w:tr w:rsidR="00E87144" w:rsidRPr="004A1605" w14:paraId="09C36D28" w14:textId="77777777" w:rsidTr="002D68E5">
        <w:tc>
          <w:tcPr>
            <w:tcW w:w="476" w:type="pct"/>
          </w:tcPr>
          <w:p w14:paraId="1934A71F"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Beef Cattle Herd Management</w:t>
            </w:r>
          </w:p>
        </w:tc>
        <w:tc>
          <w:tcPr>
            <w:tcW w:w="1041" w:type="pct"/>
          </w:tcPr>
          <w:p w14:paraId="13FC1EA4"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Increasing the ratio of weight to age, reducing the average age, reducing the proportion of unproductive animals, and/or changing the ratio of livestock classes within the herd to increase total annual liveweight gain.</w:t>
            </w:r>
          </w:p>
        </w:tc>
        <w:tc>
          <w:tcPr>
            <w:tcW w:w="374" w:type="pct"/>
          </w:tcPr>
          <w:p w14:paraId="4A302CE7"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Reduction</w:t>
            </w:r>
          </w:p>
        </w:tc>
        <w:tc>
          <w:tcPr>
            <w:tcW w:w="1087" w:type="pct"/>
          </w:tcPr>
          <w:p w14:paraId="35378404"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 Beef cattle herd management method</w:t>
            </w:r>
          </w:p>
          <w:p w14:paraId="2DD06F16"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 Accepted tools: Beef Cattle Herd Management Calculator (v3.2)</w:t>
            </w:r>
          </w:p>
        </w:tc>
        <w:tc>
          <w:tcPr>
            <w:tcW w:w="979" w:type="pct"/>
          </w:tcPr>
          <w:p w14:paraId="30426C78"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A methodology could be proposed for approval by GS. (Fee required)</w:t>
            </w:r>
          </w:p>
        </w:tc>
        <w:tc>
          <w:tcPr>
            <w:tcW w:w="1043" w:type="pct"/>
          </w:tcPr>
          <w:p w14:paraId="7F480A63"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A methodology could be proposed for approval by Verra. (Fee required)</w:t>
            </w:r>
          </w:p>
        </w:tc>
      </w:tr>
      <w:tr w:rsidR="00E87144" w:rsidRPr="004A1605" w14:paraId="7B4D59ED" w14:textId="77777777" w:rsidTr="002D68E5">
        <w:tc>
          <w:tcPr>
            <w:tcW w:w="476" w:type="pct"/>
          </w:tcPr>
          <w:p w14:paraId="293F4E4E"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Manure Management</w:t>
            </w:r>
          </w:p>
        </w:tc>
        <w:tc>
          <w:tcPr>
            <w:tcW w:w="1041" w:type="pct"/>
          </w:tcPr>
          <w:p w14:paraId="7CABD7B4"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GHG emissions reductions through adoption of manure management practices</w:t>
            </w:r>
          </w:p>
          <w:p w14:paraId="677F1EA2" w14:textId="77777777" w:rsidR="00E87144" w:rsidRPr="004A1605" w:rsidRDefault="00E87144" w:rsidP="002D68E5">
            <w:pPr>
              <w:rPr>
                <w:rFonts w:ascii="Calibri" w:eastAsia="Calibri" w:hAnsi="Calibri" w:cs="Arial"/>
                <w:sz w:val="20"/>
                <w:szCs w:val="20"/>
              </w:rPr>
            </w:pPr>
          </w:p>
        </w:tc>
        <w:tc>
          <w:tcPr>
            <w:tcW w:w="374" w:type="pct"/>
          </w:tcPr>
          <w:p w14:paraId="12C70BA4"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Reduction</w:t>
            </w:r>
          </w:p>
        </w:tc>
        <w:tc>
          <w:tcPr>
            <w:tcW w:w="1087" w:type="pct"/>
          </w:tcPr>
          <w:p w14:paraId="79163D6F"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Effluent Management methodology for piggery and dairy operations – has potential for feed lot application</w:t>
            </w:r>
          </w:p>
        </w:tc>
        <w:tc>
          <w:tcPr>
            <w:tcW w:w="2022" w:type="pct"/>
            <w:gridSpan w:val="2"/>
          </w:tcPr>
          <w:p w14:paraId="653FC7A1"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 AMS-III.D. Methane recovery in animal manure management systems</w:t>
            </w:r>
          </w:p>
          <w:p w14:paraId="5ADA5283"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 AMC0010 GHG emission reductions from manure management systems</w:t>
            </w:r>
          </w:p>
          <w:p w14:paraId="049C626E"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 AMS-III.Y. Methane avoidance through separation of solids from wastewater or manure treatment systems (Revised for Verra)</w:t>
            </w:r>
          </w:p>
          <w:p w14:paraId="7E78CC95"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 AMS-III.AO. Methane recovery through controlled anaerobic digestion</w:t>
            </w:r>
          </w:p>
        </w:tc>
      </w:tr>
    </w:tbl>
    <w:p w14:paraId="617FC538" w14:textId="77777777" w:rsidR="00E87144" w:rsidRDefault="00E87144" w:rsidP="00E87144">
      <w:r>
        <w:br w:type="page"/>
      </w:r>
    </w:p>
    <w:p w14:paraId="7DBDD360" w14:textId="77777777" w:rsidR="00E87144" w:rsidRPr="00BC2D08" w:rsidRDefault="00E87144" w:rsidP="00E87144">
      <w:pPr>
        <w:rPr>
          <w:b/>
          <w:bCs/>
        </w:rPr>
      </w:pPr>
      <w:r w:rsidRPr="00BC2D08">
        <w:rPr>
          <w:b/>
          <w:bCs/>
        </w:rPr>
        <w:lastRenderedPageBreak/>
        <w:t>Table 1 continued.</w:t>
      </w:r>
    </w:p>
    <w:tbl>
      <w:tblPr>
        <w:tblStyle w:val="TableGrid1"/>
        <w:tblW w:w="5000" w:type="pct"/>
        <w:tblLook w:val="04A0" w:firstRow="1" w:lastRow="0" w:firstColumn="1" w:lastColumn="0" w:noHBand="0" w:noVBand="1"/>
      </w:tblPr>
      <w:tblGrid>
        <w:gridCol w:w="1328"/>
        <w:gridCol w:w="2904"/>
        <w:gridCol w:w="1043"/>
        <w:gridCol w:w="3032"/>
        <w:gridCol w:w="2731"/>
        <w:gridCol w:w="2910"/>
      </w:tblGrid>
      <w:tr w:rsidR="00E87144" w:rsidRPr="004A1605" w14:paraId="5ECCDE23" w14:textId="77777777" w:rsidTr="002D68E5">
        <w:tc>
          <w:tcPr>
            <w:tcW w:w="476" w:type="pct"/>
          </w:tcPr>
          <w:p w14:paraId="76630880"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b/>
                <w:bCs/>
                <w:sz w:val="20"/>
                <w:szCs w:val="20"/>
              </w:rPr>
              <w:t>Intervention</w:t>
            </w:r>
          </w:p>
        </w:tc>
        <w:tc>
          <w:tcPr>
            <w:tcW w:w="1041" w:type="pct"/>
          </w:tcPr>
          <w:p w14:paraId="504A15CD"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b/>
                <w:bCs/>
                <w:sz w:val="20"/>
                <w:szCs w:val="20"/>
              </w:rPr>
              <w:t>Description</w:t>
            </w:r>
          </w:p>
        </w:tc>
        <w:tc>
          <w:tcPr>
            <w:tcW w:w="374" w:type="pct"/>
          </w:tcPr>
          <w:p w14:paraId="45334AB0"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b/>
                <w:bCs/>
                <w:sz w:val="20"/>
                <w:szCs w:val="20"/>
              </w:rPr>
              <w:t>Type</w:t>
            </w:r>
          </w:p>
        </w:tc>
        <w:tc>
          <w:tcPr>
            <w:tcW w:w="1087" w:type="pct"/>
          </w:tcPr>
          <w:p w14:paraId="5BC52D62"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b/>
                <w:bCs/>
                <w:sz w:val="20"/>
                <w:szCs w:val="20"/>
              </w:rPr>
              <w:t xml:space="preserve">ERF Methodologies </w:t>
            </w:r>
          </w:p>
        </w:tc>
        <w:tc>
          <w:tcPr>
            <w:tcW w:w="979" w:type="pct"/>
          </w:tcPr>
          <w:p w14:paraId="366AF493"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b/>
                <w:bCs/>
                <w:sz w:val="20"/>
                <w:szCs w:val="20"/>
              </w:rPr>
              <w:t>Gold Standard Methodologies</w:t>
            </w:r>
          </w:p>
        </w:tc>
        <w:tc>
          <w:tcPr>
            <w:tcW w:w="1043" w:type="pct"/>
          </w:tcPr>
          <w:p w14:paraId="40357B6D"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b/>
                <w:bCs/>
                <w:sz w:val="20"/>
                <w:szCs w:val="20"/>
              </w:rPr>
              <w:t>Verra Methodologies</w:t>
            </w:r>
          </w:p>
        </w:tc>
      </w:tr>
      <w:tr w:rsidR="00E87144" w:rsidRPr="004A1605" w14:paraId="3B14B769" w14:textId="77777777" w:rsidTr="002D68E5">
        <w:tc>
          <w:tcPr>
            <w:tcW w:w="476" w:type="pct"/>
          </w:tcPr>
          <w:p w14:paraId="7472C0E0"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Regenerative Grazing</w:t>
            </w:r>
          </w:p>
        </w:tc>
        <w:tc>
          <w:tcPr>
            <w:tcW w:w="1041" w:type="pct"/>
          </w:tcPr>
          <w:p w14:paraId="715E3B3F"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Soil sequestration improvement through livestock management practices</w:t>
            </w:r>
          </w:p>
        </w:tc>
        <w:tc>
          <w:tcPr>
            <w:tcW w:w="374" w:type="pct"/>
          </w:tcPr>
          <w:p w14:paraId="4713D30D"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Removal</w:t>
            </w:r>
          </w:p>
        </w:tc>
        <w:tc>
          <w:tcPr>
            <w:tcW w:w="1087" w:type="pct"/>
          </w:tcPr>
          <w:p w14:paraId="5E947A9A"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AUS-SM, Carbon Credits (Carbon Farming Initiative Measurement of Soil Carbon Sequestration in Agricultural Systems, Methodology Determination 2018</w:t>
            </w:r>
          </w:p>
        </w:tc>
        <w:tc>
          <w:tcPr>
            <w:tcW w:w="979" w:type="pct"/>
          </w:tcPr>
          <w:p w14:paraId="013060D5"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There currently isn't an Activity Module for grazing. Activity modules are applied in conjunction with the Gold Standard Soil Organic Carbon Framework Methodology</w:t>
            </w:r>
          </w:p>
        </w:tc>
        <w:tc>
          <w:tcPr>
            <w:tcW w:w="1043" w:type="pct"/>
          </w:tcPr>
          <w:p w14:paraId="37FF7AA9"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 VM0026 Methodology for Sustainable Grassland Management (SGM), v1.1</w:t>
            </w:r>
          </w:p>
          <w:p w14:paraId="5F117079"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 Accepted tools: Biogeochemical SOC models may be used.</w:t>
            </w:r>
          </w:p>
        </w:tc>
      </w:tr>
      <w:tr w:rsidR="00E87144" w:rsidRPr="004A1605" w14:paraId="2A1024FA" w14:textId="77777777" w:rsidTr="002D68E5">
        <w:tc>
          <w:tcPr>
            <w:tcW w:w="476" w:type="pct"/>
          </w:tcPr>
          <w:p w14:paraId="24CD0EBD"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Carbon Farming</w:t>
            </w:r>
          </w:p>
        </w:tc>
        <w:tc>
          <w:tcPr>
            <w:tcW w:w="1041" w:type="pct"/>
          </w:tcPr>
          <w:p w14:paraId="69BB2919"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Soil sequestration related to agricultural practices</w:t>
            </w:r>
          </w:p>
        </w:tc>
        <w:tc>
          <w:tcPr>
            <w:tcW w:w="374" w:type="pct"/>
          </w:tcPr>
          <w:p w14:paraId="4C248603"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Removal</w:t>
            </w:r>
          </w:p>
        </w:tc>
        <w:tc>
          <w:tcPr>
            <w:tcW w:w="1087" w:type="pct"/>
          </w:tcPr>
          <w:p w14:paraId="30360A71"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 Estimating sequestration of carbon in soil using default values method</w:t>
            </w:r>
          </w:p>
          <w:p w14:paraId="243B535D"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 Measurement of soil carbon sequestration in agricultural systems method</w:t>
            </w:r>
          </w:p>
          <w:p w14:paraId="12F9E71D"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 xml:space="preserve">- Accepted tools: FullCAM </w:t>
            </w:r>
          </w:p>
        </w:tc>
        <w:tc>
          <w:tcPr>
            <w:tcW w:w="979" w:type="pct"/>
          </w:tcPr>
          <w:p w14:paraId="1823EC39"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Soil Organic Carbon Framework, Soil Organic Carbon Activity Module: Increasing Soil Carbon Through Improved Tillage Practices</w:t>
            </w:r>
          </w:p>
        </w:tc>
        <w:tc>
          <w:tcPr>
            <w:tcW w:w="1043" w:type="pct"/>
          </w:tcPr>
          <w:p w14:paraId="352A1263"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 xml:space="preserve">VM0042 Methodology for Improved Agricultural Land Management                                                                                                                                                                                                                                                                         </w:t>
            </w:r>
          </w:p>
        </w:tc>
      </w:tr>
      <w:tr w:rsidR="00E87144" w:rsidRPr="004A1605" w14:paraId="6343B667" w14:textId="77777777" w:rsidTr="002D68E5">
        <w:tc>
          <w:tcPr>
            <w:tcW w:w="476" w:type="pct"/>
          </w:tcPr>
          <w:p w14:paraId="48674976"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Other Nature Based Solutions</w:t>
            </w:r>
          </w:p>
        </w:tc>
        <w:tc>
          <w:tcPr>
            <w:tcW w:w="1041" w:type="pct"/>
          </w:tcPr>
          <w:p w14:paraId="3D7A0803"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Carbon sequestration through vegetation such as agroforestry, silviculture, and other practices that increasing carbon-storing biomass</w:t>
            </w:r>
          </w:p>
        </w:tc>
        <w:tc>
          <w:tcPr>
            <w:tcW w:w="374" w:type="pct"/>
          </w:tcPr>
          <w:p w14:paraId="0D923442"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Removal</w:t>
            </w:r>
          </w:p>
        </w:tc>
        <w:tc>
          <w:tcPr>
            <w:tcW w:w="1087" w:type="pct"/>
          </w:tcPr>
          <w:p w14:paraId="3CEB814C"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 Human Induced Regeneration Method</w:t>
            </w:r>
          </w:p>
          <w:p w14:paraId="31CC18BA"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 Environmental Planting Method</w:t>
            </w:r>
          </w:p>
          <w:p w14:paraId="7DDD626C"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 xml:space="preserve">- Accepted tools: FullCAM </w:t>
            </w:r>
          </w:p>
        </w:tc>
        <w:tc>
          <w:tcPr>
            <w:tcW w:w="979" w:type="pct"/>
          </w:tcPr>
          <w:p w14:paraId="3115B4AF"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Gold Standard Afforestation/Reforestation (A/R) GHG Emissions Reduction &amp; Sequestration Methodology</w:t>
            </w:r>
          </w:p>
        </w:tc>
        <w:tc>
          <w:tcPr>
            <w:tcW w:w="1043" w:type="pct"/>
          </w:tcPr>
          <w:p w14:paraId="28C16356" w14:textId="77777777" w:rsidR="00E87144" w:rsidRPr="004A1605" w:rsidRDefault="00E87144" w:rsidP="002D68E5">
            <w:pPr>
              <w:rPr>
                <w:rFonts w:ascii="Calibri" w:eastAsia="Calibri" w:hAnsi="Calibri" w:cs="Arial"/>
                <w:sz w:val="20"/>
                <w:szCs w:val="20"/>
              </w:rPr>
            </w:pPr>
            <w:r w:rsidRPr="004A1605">
              <w:rPr>
                <w:rFonts w:ascii="Calibri" w:eastAsia="Calibri" w:hAnsi="Calibri" w:cs="Arial"/>
                <w:sz w:val="20"/>
                <w:szCs w:val="20"/>
              </w:rPr>
              <w:t xml:space="preserve">VM0003, VM0006, VM0010, VM0005, VM0004, VM0007, VM0009 </w:t>
            </w:r>
          </w:p>
          <w:p w14:paraId="1E0C91D7" w14:textId="77777777" w:rsidR="00E87144" w:rsidRPr="004A1605" w:rsidRDefault="00E87144" w:rsidP="002D68E5">
            <w:pPr>
              <w:rPr>
                <w:rFonts w:ascii="Calibri" w:eastAsia="Calibri" w:hAnsi="Calibri" w:cs="Arial"/>
                <w:sz w:val="20"/>
                <w:szCs w:val="20"/>
              </w:rPr>
            </w:pPr>
          </w:p>
        </w:tc>
      </w:tr>
    </w:tbl>
    <w:p w14:paraId="37B96A54" w14:textId="77777777" w:rsidR="00E87144" w:rsidRDefault="00E87144" w:rsidP="00E87144"/>
    <w:p w14:paraId="5F30FB58" w14:textId="77777777" w:rsidR="00E87144" w:rsidRDefault="00E87144" w:rsidP="00E87144">
      <w:r>
        <w:br w:type="page"/>
      </w:r>
    </w:p>
    <w:p w14:paraId="75274F35" w14:textId="77777777" w:rsidR="00E87144" w:rsidRPr="00BC2D08" w:rsidRDefault="00E87144" w:rsidP="00E87144">
      <w:pPr>
        <w:ind w:left="720" w:hanging="720"/>
        <w:rPr>
          <w:b/>
          <w:bCs/>
        </w:rPr>
      </w:pPr>
      <w:r w:rsidRPr="00BC2D08">
        <w:rPr>
          <w:b/>
          <w:bCs/>
        </w:rPr>
        <w:lastRenderedPageBreak/>
        <w:t xml:space="preserve">Table </w:t>
      </w:r>
      <w:r>
        <w:rPr>
          <w:b/>
          <w:bCs/>
        </w:rPr>
        <w:t>2</w:t>
      </w:r>
      <w:r w:rsidRPr="00BC2D08">
        <w:rPr>
          <w:b/>
          <w:bCs/>
        </w:rPr>
        <w:t>. Tools available for use within Australian standards and the applicability across different formats and programs</w:t>
      </w:r>
    </w:p>
    <w:tbl>
      <w:tblPr>
        <w:tblStyle w:val="TableGrid2"/>
        <w:tblW w:w="5000" w:type="pct"/>
        <w:tblLook w:val="04A0" w:firstRow="1" w:lastRow="0" w:firstColumn="1" w:lastColumn="0" w:noHBand="0" w:noVBand="1"/>
      </w:tblPr>
      <w:tblGrid>
        <w:gridCol w:w="1375"/>
        <w:gridCol w:w="3300"/>
        <w:gridCol w:w="1176"/>
        <w:gridCol w:w="2527"/>
        <w:gridCol w:w="2785"/>
        <w:gridCol w:w="2785"/>
      </w:tblGrid>
      <w:tr w:rsidR="00E87144" w:rsidRPr="00BC2D08" w14:paraId="11F3B8F1" w14:textId="77777777" w:rsidTr="002D68E5">
        <w:tc>
          <w:tcPr>
            <w:tcW w:w="460" w:type="pct"/>
          </w:tcPr>
          <w:p w14:paraId="0016A835" w14:textId="77777777" w:rsidR="00E87144" w:rsidRPr="00BC2D08" w:rsidRDefault="00E87144" w:rsidP="002D68E5">
            <w:pPr>
              <w:rPr>
                <w:rFonts w:ascii="Calibri" w:eastAsia="Calibri" w:hAnsi="Calibri" w:cs="Arial"/>
                <w:b/>
                <w:bCs/>
                <w:sz w:val="20"/>
                <w:szCs w:val="20"/>
              </w:rPr>
            </w:pPr>
            <w:r w:rsidRPr="00BC2D08">
              <w:rPr>
                <w:rFonts w:ascii="Calibri" w:eastAsia="Calibri" w:hAnsi="Calibri" w:cs="Arial"/>
                <w:b/>
                <w:bCs/>
                <w:sz w:val="20"/>
                <w:szCs w:val="20"/>
              </w:rPr>
              <w:t>Tool</w:t>
            </w:r>
          </w:p>
        </w:tc>
        <w:tc>
          <w:tcPr>
            <w:tcW w:w="1202" w:type="pct"/>
          </w:tcPr>
          <w:p w14:paraId="003FA7CA" w14:textId="77777777" w:rsidR="00E87144" w:rsidRPr="00BC2D08" w:rsidRDefault="00E87144" w:rsidP="002D68E5">
            <w:pPr>
              <w:rPr>
                <w:rFonts w:ascii="Calibri" w:eastAsia="Calibri" w:hAnsi="Calibri" w:cs="Arial"/>
                <w:b/>
                <w:bCs/>
                <w:sz w:val="20"/>
                <w:szCs w:val="20"/>
              </w:rPr>
            </w:pPr>
            <w:r w:rsidRPr="00BC2D08">
              <w:rPr>
                <w:rFonts w:ascii="Calibri" w:eastAsia="Calibri" w:hAnsi="Calibri" w:cs="Arial"/>
                <w:b/>
                <w:bCs/>
                <w:sz w:val="20"/>
                <w:szCs w:val="20"/>
              </w:rPr>
              <w:t>Description</w:t>
            </w:r>
          </w:p>
        </w:tc>
        <w:tc>
          <w:tcPr>
            <w:tcW w:w="378" w:type="pct"/>
          </w:tcPr>
          <w:p w14:paraId="25149C25" w14:textId="77777777" w:rsidR="00E87144" w:rsidRPr="00BC2D08" w:rsidRDefault="00E87144" w:rsidP="002D68E5">
            <w:pPr>
              <w:rPr>
                <w:rFonts w:ascii="Calibri" w:eastAsia="Calibri" w:hAnsi="Calibri" w:cs="Arial"/>
                <w:b/>
                <w:bCs/>
                <w:sz w:val="20"/>
                <w:szCs w:val="20"/>
              </w:rPr>
            </w:pPr>
            <w:r w:rsidRPr="00BC2D08">
              <w:rPr>
                <w:rFonts w:ascii="Calibri" w:eastAsia="Calibri" w:hAnsi="Calibri" w:cs="Arial"/>
                <w:b/>
                <w:bCs/>
                <w:sz w:val="20"/>
                <w:szCs w:val="20"/>
              </w:rPr>
              <w:t>Type</w:t>
            </w:r>
          </w:p>
        </w:tc>
        <w:tc>
          <w:tcPr>
            <w:tcW w:w="925" w:type="pct"/>
          </w:tcPr>
          <w:p w14:paraId="22B6FB92" w14:textId="77777777" w:rsidR="00E87144" w:rsidRPr="00BC2D08" w:rsidRDefault="00E87144" w:rsidP="002D68E5">
            <w:pPr>
              <w:rPr>
                <w:rFonts w:ascii="Calibri" w:eastAsia="Calibri" w:hAnsi="Calibri" w:cs="Arial"/>
                <w:b/>
                <w:bCs/>
                <w:sz w:val="20"/>
                <w:szCs w:val="20"/>
              </w:rPr>
            </w:pPr>
            <w:r w:rsidRPr="00BC2D08">
              <w:rPr>
                <w:rFonts w:ascii="Calibri" w:eastAsia="Calibri" w:hAnsi="Calibri" w:cs="Arial"/>
                <w:b/>
                <w:bCs/>
                <w:sz w:val="20"/>
                <w:szCs w:val="20"/>
              </w:rPr>
              <w:t>ERF Compatibility</w:t>
            </w:r>
          </w:p>
        </w:tc>
        <w:tc>
          <w:tcPr>
            <w:tcW w:w="1017" w:type="pct"/>
          </w:tcPr>
          <w:p w14:paraId="60DDE36F" w14:textId="77777777" w:rsidR="00E87144" w:rsidRPr="00BC2D08" w:rsidRDefault="00E87144" w:rsidP="002D68E5">
            <w:pPr>
              <w:rPr>
                <w:rFonts w:ascii="Calibri" w:eastAsia="Calibri" w:hAnsi="Calibri" w:cs="Arial"/>
                <w:b/>
                <w:bCs/>
                <w:sz w:val="20"/>
                <w:szCs w:val="20"/>
              </w:rPr>
            </w:pPr>
            <w:r w:rsidRPr="00BC2D08">
              <w:rPr>
                <w:rFonts w:ascii="Calibri" w:eastAsia="Calibri" w:hAnsi="Calibri" w:cs="Arial"/>
                <w:b/>
                <w:bCs/>
                <w:sz w:val="20"/>
                <w:szCs w:val="20"/>
              </w:rPr>
              <w:t>Gold Standard Compatibility</w:t>
            </w:r>
          </w:p>
        </w:tc>
        <w:tc>
          <w:tcPr>
            <w:tcW w:w="1017" w:type="pct"/>
          </w:tcPr>
          <w:p w14:paraId="3B6AF988" w14:textId="77777777" w:rsidR="00E87144" w:rsidRPr="00BC2D08" w:rsidRDefault="00E87144" w:rsidP="002D68E5">
            <w:pPr>
              <w:rPr>
                <w:rFonts w:ascii="Calibri" w:eastAsia="Calibri" w:hAnsi="Calibri" w:cs="Arial"/>
                <w:b/>
                <w:bCs/>
                <w:sz w:val="20"/>
                <w:szCs w:val="20"/>
              </w:rPr>
            </w:pPr>
            <w:r w:rsidRPr="00BC2D08">
              <w:rPr>
                <w:rFonts w:ascii="Calibri" w:eastAsia="Calibri" w:hAnsi="Calibri" w:cs="Arial"/>
                <w:b/>
                <w:bCs/>
                <w:sz w:val="20"/>
                <w:szCs w:val="20"/>
              </w:rPr>
              <w:t>Verra Compatibility</w:t>
            </w:r>
          </w:p>
        </w:tc>
      </w:tr>
      <w:tr w:rsidR="00E87144" w:rsidRPr="00BC2D08" w14:paraId="3FEB6EA7" w14:textId="77777777" w:rsidTr="002D68E5">
        <w:tc>
          <w:tcPr>
            <w:tcW w:w="460" w:type="pct"/>
          </w:tcPr>
          <w:p w14:paraId="4E0AA38E" w14:textId="77777777" w:rsidR="00E87144" w:rsidRPr="00BC2D08" w:rsidRDefault="00E87144" w:rsidP="002D68E5">
            <w:pPr>
              <w:rPr>
                <w:rFonts w:ascii="Calibri" w:eastAsia="Calibri" w:hAnsi="Calibri" w:cs="Arial"/>
                <w:sz w:val="20"/>
                <w:szCs w:val="20"/>
              </w:rPr>
            </w:pPr>
            <w:r w:rsidRPr="00BC2D08">
              <w:rPr>
                <w:rFonts w:ascii="Calibri" w:eastAsia="Calibri" w:hAnsi="Calibri" w:cs="Arial"/>
                <w:sz w:val="20"/>
                <w:szCs w:val="20"/>
              </w:rPr>
              <w:t>Total Farm Footprint Calculator: Beef &amp; Sheep Greenhouse Accounting Tool (SB-GAFv1.3.xlsm)</w:t>
            </w:r>
          </w:p>
        </w:tc>
        <w:tc>
          <w:tcPr>
            <w:tcW w:w="1202" w:type="pct"/>
          </w:tcPr>
          <w:p w14:paraId="09316CA9" w14:textId="77777777" w:rsidR="00E87144" w:rsidRPr="00BC2D08" w:rsidRDefault="00E87144" w:rsidP="002D68E5">
            <w:pPr>
              <w:rPr>
                <w:rFonts w:ascii="Calibri" w:eastAsia="Calibri" w:hAnsi="Calibri" w:cs="Arial"/>
                <w:sz w:val="20"/>
                <w:szCs w:val="20"/>
              </w:rPr>
            </w:pPr>
            <w:r w:rsidRPr="00BC2D08">
              <w:rPr>
                <w:rFonts w:ascii="Calibri" w:eastAsia="Calibri" w:hAnsi="Calibri" w:cs="Arial"/>
                <w:sz w:val="20"/>
                <w:szCs w:val="20"/>
              </w:rPr>
              <w:t>Total farm emissions from various Scope 1, 2 &amp; 3 GHG emission sources and removals from carbon stored in trees. At a high-level, emissions are organized by "hot-spots": Manure (CH4, N2O), Enteric (CH4), Fertiliser use (N20), Fuel consumption / Electricity (C2O), Burning (CH4).</w:t>
            </w:r>
          </w:p>
        </w:tc>
        <w:tc>
          <w:tcPr>
            <w:tcW w:w="378" w:type="pct"/>
          </w:tcPr>
          <w:p w14:paraId="48223C5A" w14:textId="77777777" w:rsidR="00E87144" w:rsidRPr="00BC2D08" w:rsidRDefault="00E87144" w:rsidP="002D68E5">
            <w:pPr>
              <w:rPr>
                <w:rFonts w:ascii="Calibri" w:eastAsia="Calibri" w:hAnsi="Calibri" w:cs="Arial"/>
                <w:sz w:val="20"/>
                <w:szCs w:val="20"/>
              </w:rPr>
            </w:pPr>
            <w:r w:rsidRPr="00BC2D08">
              <w:rPr>
                <w:rFonts w:ascii="Calibri" w:eastAsia="Calibri" w:hAnsi="Calibri" w:cs="Arial"/>
                <w:sz w:val="20"/>
                <w:szCs w:val="20"/>
              </w:rPr>
              <w:t>LCA Tool</w:t>
            </w:r>
          </w:p>
        </w:tc>
        <w:tc>
          <w:tcPr>
            <w:tcW w:w="925" w:type="pct"/>
          </w:tcPr>
          <w:p w14:paraId="647221EF" w14:textId="77777777" w:rsidR="00E87144" w:rsidRPr="00BC2D08" w:rsidRDefault="00E87144" w:rsidP="002D68E5">
            <w:pPr>
              <w:rPr>
                <w:rFonts w:ascii="Calibri" w:eastAsia="Calibri" w:hAnsi="Calibri" w:cs="Arial"/>
                <w:sz w:val="20"/>
                <w:szCs w:val="20"/>
              </w:rPr>
            </w:pPr>
            <w:r w:rsidRPr="00BC2D08">
              <w:rPr>
                <w:rFonts w:ascii="Calibri" w:eastAsia="Calibri" w:hAnsi="Calibri" w:cs="Arial"/>
                <w:sz w:val="20"/>
                <w:szCs w:val="20"/>
              </w:rPr>
              <w:t>Yes</w:t>
            </w:r>
          </w:p>
        </w:tc>
        <w:tc>
          <w:tcPr>
            <w:tcW w:w="1017" w:type="pct"/>
          </w:tcPr>
          <w:p w14:paraId="098CB47B" w14:textId="77777777" w:rsidR="00E87144" w:rsidRPr="00BC2D08" w:rsidRDefault="00E87144" w:rsidP="002D68E5">
            <w:pPr>
              <w:rPr>
                <w:rFonts w:ascii="Calibri" w:eastAsia="Calibri" w:hAnsi="Calibri" w:cs="Arial"/>
                <w:sz w:val="20"/>
                <w:szCs w:val="20"/>
              </w:rPr>
            </w:pPr>
            <w:r w:rsidRPr="00BC2D08">
              <w:rPr>
                <w:rFonts w:ascii="Calibri" w:eastAsia="Calibri" w:hAnsi="Calibri" w:cs="Arial"/>
                <w:sz w:val="20"/>
                <w:szCs w:val="20"/>
              </w:rPr>
              <w:t>Potentially; The quantification approach for specific activities embedded in the tool could be submitted for review under an existing methodology.</w:t>
            </w:r>
          </w:p>
        </w:tc>
        <w:tc>
          <w:tcPr>
            <w:tcW w:w="1017" w:type="pct"/>
          </w:tcPr>
          <w:p w14:paraId="75F48050" w14:textId="77777777" w:rsidR="00E87144" w:rsidRPr="00BC2D08" w:rsidRDefault="00E87144" w:rsidP="002D68E5">
            <w:pPr>
              <w:rPr>
                <w:rFonts w:ascii="Calibri" w:eastAsia="Calibri" w:hAnsi="Calibri" w:cs="Arial"/>
                <w:sz w:val="20"/>
                <w:szCs w:val="20"/>
              </w:rPr>
            </w:pPr>
            <w:r w:rsidRPr="00BC2D08">
              <w:rPr>
                <w:rFonts w:ascii="Calibri" w:eastAsia="Calibri" w:hAnsi="Calibri" w:cs="Arial"/>
                <w:sz w:val="20"/>
                <w:szCs w:val="20"/>
              </w:rPr>
              <w:t>Potentially; The quantification approach for specific activities embedded in the tool could be submitted for review under an existing methodology.</w:t>
            </w:r>
          </w:p>
        </w:tc>
      </w:tr>
      <w:tr w:rsidR="00E87144" w:rsidRPr="00BC2D08" w14:paraId="1CF8B7FB" w14:textId="77777777" w:rsidTr="002D68E5">
        <w:tc>
          <w:tcPr>
            <w:tcW w:w="460" w:type="pct"/>
          </w:tcPr>
          <w:p w14:paraId="4600E498" w14:textId="77777777" w:rsidR="00E87144" w:rsidRPr="00BC2D08" w:rsidRDefault="00E87144" w:rsidP="002D68E5">
            <w:pPr>
              <w:rPr>
                <w:rFonts w:ascii="Calibri" w:eastAsia="Calibri" w:hAnsi="Calibri" w:cs="Arial"/>
                <w:sz w:val="20"/>
                <w:szCs w:val="20"/>
              </w:rPr>
            </w:pPr>
            <w:r w:rsidRPr="00BC2D08">
              <w:rPr>
                <w:rFonts w:ascii="Calibri" w:eastAsia="Calibri" w:hAnsi="Calibri" w:cs="Arial"/>
                <w:sz w:val="20"/>
                <w:szCs w:val="20"/>
              </w:rPr>
              <w:t>SavBat</w:t>
            </w:r>
          </w:p>
        </w:tc>
        <w:tc>
          <w:tcPr>
            <w:tcW w:w="1202" w:type="pct"/>
          </w:tcPr>
          <w:p w14:paraId="2B4E7296" w14:textId="77777777" w:rsidR="00E87144" w:rsidRPr="00BC2D08" w:rsidRDefault="00E87144" w:rsidP="002D68E5">
            <w:pPr>
              <w:rPr>
                <w:rFonts w:ascii="Calibri" w:eastAsia="Calibri" w:hAnsi="Calibri" w:cs="Arial"/>
                <w:sz w:val="20"/>
                <w:szCs w:val="20"/>
              </w:rPr>
            </w:pPr>
            <w:r w:rsidRPr="00BC2D08">
              <w:rPr>
                <w:rFonts w:ascii="Calibri" w:eastAsia="Calibri" w:hAnsi="Calibri" w:cs="Arial"/>
                <w:sz w:val="20"/>
                <w:szCs w:val="20"/>
              </w:rPr>
              <w:t xml:space="preserve">Model used to estimate the net abatement for projects registered under savanna fire management determinations of the Australian Government’s Emissions Reduction Fund (ERF) </w:t>
            </w:r>
          </w:p>
        </w:tc>
        <w:tc>
          <w:tcPr>
            <w:tcW w:w="378" w:type="pct"/>
          </w:tcPr>
          <w:p w14:paraId="7B8EB663" w14:textId="77777777" w:rsidR="00E87144" w:rsidRPr="00BC2D08" w:rsidRDefault="00E87144" w:rsidP="002D68E5">
            <w:pPr>
              <w:rPr>
                <w:rFonts w:ascii="Calibri" w:eastAsia="Calibri" w:hAnsi="Calibri" w:cs="Arial"/>
                <w:sz w:val="20"/>
                <w:szCs w:val="20"/>
              </w:rPr>
            </w:pPr>
            <w:r w:rsidRPr="00BC2D08">
              <w:rPr>
                <w:rFonts w:ascii="Calibri" w:eastAsia="Calibri" w:hAnsi="Calibri" w:cs="Arial"/>
                <w:sz w:val="20"/>
                <w:szCs w:val="20"/>
              </w:rPr>
              <w:t>Model</w:t>
            </w:r>
          </w:p>
        </w:tc>
        <w:tc>
          <w:tcPr>
            <w:tcW w:w="925" w:type="pct"/>
          </w:tcPr>
          <w:p w14:paraId="2CF7E243" w14:textId="77777777" w:rsidR="00E87144" w:rsidRPr="00BC2D08" w:rsidRDefault="00E87144" w:rsidP="002D68E5">
            <w:pPr>
              <w:rPr>
                <w:rFonts w:ascii="Calibri" w:eastAsia="Calibri" w:hAnsi="Calibri" w:cs="Arial"/>
                <w:sz w:val="20"/>
                <w:szCs w:val="20"/>
              </w:rPr>
            </w:pPr>
            <w:r w:rsidRPr="00BC2D08">
              <w:rPr>
                <w:rFonts w:ascii="Calibri" w:eastAsia="Calibri" w:hAnsi="Calibri" w:cs="Arial"/>
                <w:sz w:val="20"/>
                <w:szCs w:val="20"/>
              </w:rPr>
              <w:t>Yes</w:t>
            </w:r>
          </w:p>
        </w:tc>
        <w:tc>
          <w:tcPr>
            <w:tcW w:w="1017" w:type="pct"/>
          </w:tcPr>
          <w:p w14:paraId="3CAFE634" w14:textId="77777777" w:rsidR="00E87144" w:rsidRPr="00BC2D08" w:rsidRDefault="00E87144" w:rsidP="002D68E5">
            <w:pPr>
              <w:rPr>
                <w:rFonts w:ascii="Calibri" w:eastAsia="Calibri" w:hAnsi="Calibri" w:cs="Arial"/>
                <w:sz w:val="20"/>
                <w:szCs w:val="20"/>
                <w:highlight w:val="yellow"/>
              </w:rPr>
            </w:pPr>
            <w:r w:rsidRPr="00BC2D08">
              <w:rPr>
                <w:rFonts w:ascii="Calibri" w:eastAsia="Calibri" w:hAnsi="Calibri" w:cs="Arial"/>
                <w:sz w:val="20"/>
                <w:szCs w:val="20"/>
              </w:rPr>
              <w:t>No; Avoided burning emissions are not allowed for GS carbon credit generation</w:t>
            </w:r>
          </w:p>
        </w:tc>
        <w:tc>
          <w:tcPr>
            <w:tcW w:w="1017" w:type="pct"/>
          </w:tcPr>
          <w:p w14:paraId="431F25C4" w14:textId="77777777" w:rsidR="00E87144" w:rsidRPr="00BC2D08" w:rsidRDefault="00E87144" w:rsidP="002D68E5">
            <w:pPr>
              <w:rPr>
                <w:rFonts w:ascii="Calibri" w:eastAsia="Calibri" w:hAnsi="Calibri" w:cs="Arial"/>
                <w:sz w:val="20"/>
                <w:szCs w:val="20"/>
              </w:rPr>
            </w:pPr>
            <w:r w:rsidRPr="00BC2D08">
              <w:rPr>
                <w:rFonts w:ascii="Calibri" w:eastAsia="Calibri" w:hAnsi="Calibri" w:cs="Arial"/>
                <w:sz w:val="20"/>
                <w:szCs w:val="20"/>
              </w:rPr>
              <w:t>Potentially; could submit a methodology under VM, REDD+ methodology framework</w:t>
            </w:r>
          </w:p>
        </w:tc>
      </w:tr>
      <w:tr w:rsidR="00E87144" w:rsidRPr="00BC2D08" w14:paraId="48B32901" w14:textId="77777777" w:rsidTr="002D68E5">
        <w:tc>
          <w:tcPr>
            <w:tcW w:w="460" w:type="pct"/>
          </w:tcPr>
          <w:p w14:paraId="0CB6E19E" w14:textId="77777777" w:rsidR="00E87144" w:rsidRPr="00BC2D08" w:rsidRDefault="00E87144" w:rsidP="002D68E5">
            <w:pPr>
              <w:rPr>
                <w:rFonts w:ascii="Calibri" w:eastAsia="Calibri" w:hAnsi="Calibri" w:cs="Arial"/>
                <w:sz w:val="20"/>
                <w:szCs w:val="20"/>
              </w:rPr>
            </w:pPr>
            <w:r w:rsidRPr="00BC2D08">
              <w:rPr>
                <w:rFonts w:ascii="Calibri" w:eastAsia="Calibri" w:hAnsi="Calibri" w:cs="Arial"/>
                <w:sz w:val="20"/>
                <w:szCs w:val="20"/>
              </w:rPr>
              <w:t>LOOC-C</w:t>
            </w:r>
          </w:p>
        </w:tc>
        <w:tc>
          <w:tcPr>
            <w:tcW w:w="1202" w:type="pct"/>
          </w:tcPr>
          <w:p w14:paraId="5EFA1E2C" w14:textId="77777777" w:rsidR="00E87144" w:rsidRPr="00BC2D08" w:rsidRDefault="00E87144" w:rsidP="002D68E5">
            <w:pPr>
              <w:rPr>
                <w:rFonts w:ascii="Calibri" w:eastAsia="Calibri" w:hAnsi="Calibri" w:cs="Arial"/>
                <w:sz w:val="20"/>
                <w:szCs w:val="20"/>
              </w:rPr>
            </w:pPr>
            <w:r w:rsidRPr="00BC2D08">
              <w:rPr>
                <w:rFonts w:ascii="Calibri" w:eastAsia="Calibri" w:hAnsi="Calibri" w:cs="Arial"/>
                <w:sz w:val="20"/>
                <w:szCs w:val="20"/>
              </w:rPr>
              <w:t>LOOC-C allows you to quickly assess options on the land for certain projects offered under Australia's federal carbon emissions programme, the ERF</w:t>
            </w:r>
          </w:p>
        </w:tc>
        <w:tc>
          <w:tcPr>
            <w:tcW w:w="378" w:type="pct"/>
          </w:tcPr>
          <w:p w14:paraId="3C646B88" w14:textId="77777777" w:rsidR="00E87144" w:rsidRPr="00BC2D08" w:rsidRDefault="00E87144" w:rsidP="002D68E5">
            <w:pPr>
              <w:rPr>
                <w:rFonts w:ascii="Calibri" w:eastAsia="Calibri" w:hAnsi="Calibri" w:cs="Arial"/>
                <w:sz w:val="20"/>
                <w:szCs w:val="20"/>
              </w:rPr>
            </w:pPr>
            <w:r w:rsidRPr="00BC2D08">
              <w:rPr>
                <w:rFonts w:ascii="Calibri" w:eastAsia="Calibri" w:hAnsi="Calibri" w:cs="Arial"/>
                <w:sz w:val="20"/>
                <w:szCs w:val="20"/>
              </w:rPr>
              <w:t>Pre-Feasibility Assessment</w:t>
            </w:r>
          </w:p>
        </w:tc>
        <w:tc>
          <w:tcPr>
            <w:tcW w:w="925" w:type="pct"/>
          </w:tcPr>
          <w:p w14:paraId="737E094F" w14:textId="77777777" w:rsidR="00E87144" w:rsidRPr="00BC2D08" w:rsidRDefault="00E87144" w:rsidP="002D68E5">
            <w:pPr>
              <w:rPr>
                <w:rFonts w:ascii="Calibri" w:eastAsia="Calibri" w:hAnsi="Calibri" w:cs="Arial"/>
                <w:sz w:val="20"/>
                <w:szCs w:val="20"/>
              </w:rPr>
            </w:pPr>
            <w:r w:rsidRPr="00BC2D08">
              <w:rPr>
                <w:rFonts w:ascii="Calibri" w:eastAsia="Calibri" w:hAnsi="Calibri" w:cs="Arial"/>
                <w:sz w:val="20"/>
                <w:szCs w:val="20"/>
              </w:rPr>
              <w:t>Designed for ERF desk top assessment for feasibility</w:t>
            </w:r>
          </w:p>
        </w:tc>
        <w:tc>
          <w:tcPr>
            <w:tcW w:w="1017" w:type="pct"/>
          </w:tcPr>
          <w:p w14:paraId="453811C9" w14:textId="77777777" w:rsidR="00E87144" w:rsidRPr="00BC2D08" w:rsidRDefault="00E87144" w:rsidP="002D68E5">
            <w:pPr>
              <w:rPr>
                <w:rFonts w:ascii="Calibri" w:eastAsia="Calibri" w:hAnsi="Calibri" w:cs="Arial"/>
                <w:sz w:val="20"/>
                <w:szCs w:val="20"/>
                <w:highlight w:val="yellow"/>
              </w:rPr>
            </w:pPr>
            <w:r w:rsidRPr="00BC2D08">
              <w:rPr>
                <w:rFonts w:ascii="Calibri" w:eastAsia="Calibri" w:hAnsi="Calibri" w:cs="Arial"/>
                <w:sz w:val="20"/>
                <w:szCs w:val="20"/>
              </w:rPr>
              <w:t>Can be used for desk top assessment for feasibility in Australia</w:t>
            </w:r>
          </w:p>
        </w:tc>
        <w:tc>
          <w:tcPr>
            <w:tcW w:w="1017" w:type="pct"/>
          </w:tcPr>
          <w:p w14:paraId="130F300D" w14:textId="77777777" w:rsidR="00E87144" w:rsidRPr="00BC2D08" w:rsidRDefault="00E87144" w:rsidP="002D68E5">
            <w:pPr>
              <w:rPr>
                <w:rFonts w:ascii="Calibri" w:eastAsia="Calibri" w:hAnsi="Calibri" w:cs="Arial"/>
                <w:sz w:val="20"/>
                <w:szCs w:val="20"/>
                <w:highlight w:val="yellow"/>
              </w:rPr>
            </w:pPr>
            <w:r w:rsidRPr="00BC2D08">
              <w:rPr>
                <w:rFonts w:ascii="Calibri" w:eastAsia="Calibri" w:hAnsi="Calibri" w:cs="Arial"/>
                <w:sz w:val="20"/>
                <w:szCs w:val="20"/>
              </w:rPr>
              <w:t>Can be used for desk top assessment for feasibility in Australia</w:t>
            </w:r>
          </w:p>
        </w:tc>
      </w:tr>
      <w:tr w:rsidR="00E87144" w:rsidRPr="00BC2D08" w14:paraId="71594849" w14:textId="77777777" w:rsidTr="002D68E5">
        <w:tc>
          <w:tcPr>
            <w:tcW w:w="460" w:type="pct"/>
          </w:tcPr>
          <w:p w14:paraId="1C38F3BE" w14:textId="77777777" w:rsidR="00E87144" w:rsidRPr="00BC2D08" w:rsidRDefault="00E87144" w:rsidP="002D68E5">
            <w:pPr>
              <w:rPr>
                <w:rFonts w:ascii="Calibri" w:eastAsia="Calibri" w:hAnsi="Calibri" w:cs="Arial"/>
                <w:sz w:val="20"/>
                <w:szCs w:val="20"/>
              </w:rPr>
            </w:pPr>
            <w:r w:rsidRPr="00BC2D08">
              <w:rPr>
                <w:rFonts w:ascii="Calibri" w:eastAsia="Calibri" w:hAnsi="Calibri" w:cs="Arial"/>
                <w:sz w:val="20"/>
                <w:szCs w:val="20"/>
              </w:rPr>
              <w:t>FullCAM</w:t>
            </w:r>
          </w:p>
        </w:tc>
        <w:tc>
          <w:tcPr>
            <w:tcW w:w="1202" w:type="pct"/>
          </w:tcPr>
          <w:p w14:paraId="4FEB7479" w14:textId="77777777" w:rsidR="00E87144" w:rsidRPr="00BC2D08" w:rsidRDefault="00E87144" w:rsidP="002D68E5">
            <w:pPr>
              <w:rPr>
                <w:rFonts w:ascii="Calibri" w:eastAsia="Calibri" w:hAnsi="Calibri" w:cs="Arial"/>
                <w:sz w:val="20"/>
                <w:szCs w:val="20"/>
              </w:rPr>
            </w:pPr>
            <w:r w:rsidRPr="00BC2D08">
              <w:rPr>
                <w:rFonts w:ascii="Calibri" w:eastAsia="Calibri" w:hAnsi="Calibri" w:cs="Arial"/>
                <w:sz w:val="20"/>
                <w:szCs w:val="20"/>
              </w:rPr>
              <w:t>The Full Carbon Accounting Model is a calculation tool for modelling Australia’s greenhouse gas emissions from the land sector.</w:t>
            </w:r>
          </w:p>
        </w:tc>
        <w:tc>
          <w:tcPr>
            <w:tcW w:w="378" w:type="pct"/>
          </w:tcPr>
          <w:p w14:paraId="16E0257E" w14:textId="77777777" w:rsidR="00E87144" w:rsidRPr="00BC2D08" w:rsidRDefault="00E87144" w:rsidP="002D68E5">
            <w:pPr>
              <w:rPr>
                <w:rFonts w:ascii="Calibri" w:eastAsia="Calibri" w:hAnsi="Calibri" w:cs="Arial"/>
                <w:sz w:val="20"/>
                <w:szCs w:val="20"/>
              </w:rPr>
            </w:pPr>
            <w:r w:rsidRPr="00BC2D08">
              <w:rPr>
                <w:rFonts w:ascii="Calibri" w:eastAsia="Calibri" w:hAnsi="Calibri" w:cs="Arial"/>
                <w:sz w:val="20"/>
                <w:szCs w:val="20"/>
              </w:rPr>
              <w:t>Model</w:t>
            </w:r>
          </w:p>
        </w:tc>
        <w:tc>
          <w:tcPr>
            <w:tcW w:w="925" w:type="pct"/>
          </w:tcPr>
          <w:p w14:paraId="300B1CF4" w14:textId="77777777" w:rsidR="00E87144" w:rsidRPr="00BC2D08" w:rsidRDefault="00E87144" w:rsidP="002D68E5">
            <w:pPr>
              <w:rPr>
                <w:rFonts w:ascii="Calibri" w:eastAsia="Calibri" w:hAnsi="Calibri" w:cs="Arial"/>
                <w:sz w:val="20"/>
                <w:szCs w:val="20"/>
              </w:rPr>
            </w:pPr>
            <w:r w:rsidRPr="00BC2D08">
              <w:rPr>
                <w:rFonts w:ascii="Calibri" w:eastAsia="Calibri" w:hAnsi="Calibri" w:cs="Arial"/>
                <w:sz w:val="20"/>
                <w:szCs w:val="20"/>
              </w:rPr>
              <w:t>Yes</w:t>
            </w:r>
          </w:p>
        </w:tc>
        <w:tc>
          <w:tcPr>
            <w:tcW w:w="1017" w:type="pct"/>
          </w:tcPr>
          <w:p w14:paraId="35628FBD" w14:textId="77777777" w:rsidR="00E87144" w:rsidRPr="00BC2D08" w:rsidRDefault="00E87144" w:rsidP="002D68E5">
            <w:pPr>
              <w:rPr>
                <w:rFonts w:ascii="Calibri" w:eastAsia="Calibri" w:hAnsi="Calibri" w:cs="Arial"/>
                <w:sz w:val="20"/>
                <w:szCs w:val="20"/>
                <w:highlight w:val="yellow"/>
              </w:rPr>
            </w:pPr>
            <w:r w:rsidRPr="00BC2D08">
              <w:rPr>
                <w:rFonts w:ascii="Calibri" w:eastAsia="Calibri" w:hAnsi="Calibri" w:cs="Arial"/>
                <w:sz w:val="20"/>
                <w:szCs w:val="20"/>
              </w:rPr>
              <w:t>Potentially; The model could be submitted for review under the Gold Standard Soil Organic Carbon Framework (approach 2)</w:t>
            </w:r>
          </w:p>
        </w:tc>
        <w:tc>
          <w:tcPr>
            <w:tcW w:w="1017" w:type="pct"/>
          </w:tcPr>
          <w:p w14:paraId="213109FF" w14:textId="77777777" w:rsidR="00E87144" w:rsidRPr="00BC2D08" w:rsidRDefault="00E87144" w:rsidP="002D68E5">
            <w:pPr>
              <w:rPr>
                <w:rFonts w:ascii="Calibri" w:eastAsia="Calibri" w:hAnsi="Calibri" w:cs="Arial"/>
                <w:sz w:val="20"/>
                <w:szCs w:val="20"/>
                <w:highlight w:val="yellow"/>
              </w:rPr>
            </w:pPr>
            <w:r w:rsidRPr="00BC2D08">
              <w:rPr>
                <w:rFonts w:ascii="Calibri" w:eastAsia="Calibri" w:hAnsi="Calibri" w:cs="Arial"/>
                <w:sz w:val="20"/>
                <w:szCs w:val="20"/>
              </w:rPr>
              <w:t>Potentially; The model could be submitted for review under VM0042, Quantification Approach 1: Measure and Model</w:t>
            </w:r>
          </w:p>
        </w:tc>
      </w:tr>
      <w:tr w:rsidR="00E87144" w:rsidRPr="00BC2D08" w14:paraId="74AA79C2" w14:textId="77777777" w:rsidTr="002D68E5">
        <w:tc>
          <w:tcPr>
            <w:tcW w:w="460" w:type="pct"/>
          </w:tcPr>
          <w:p w14:paraId="093711C2" w14:textId="77777777" w:rsidR="00E87144" w:rsidRPr="00BC2D08" w:rsidRDefault="00E87144" w:rsidP="002D68E5">
            <w:pPr>
              <w:rPr>
                <w:rFonts w:ascii="Calibri" w:eastAsia="Calibri" w:hAnsi="Calibri" w:cs="Arial"/>
                <w:sz w:val="20"/>
                <w:szCs w:val="20"/>
              </w:rPr>
            </w:pPr>
            <w:r w:rsidRPr="00BC2D08">
              <w:rPr>
                <w:rFonts w:ascii="Calibri" w:eastAsia="Calibri" w:hAnsi="Calibri" w:cs="Arial"/>
                <w:sz w:val="20"/>
                <w:szCs w:val="20"/>
              </w:rPr>
              <w:t>RegenCo</w:t>
            </w:r>
          </w:p>
        </w:tc>
        <w:tc>
          <w:tcPr>
            <w:tcW w:w="1202" w:type="pct"/>
          </w:tcPr>
          <w:p w14:paraId="20B0EF0F" w14:textId="77777777" w:rsidR="00E87144" w:rsidRPr="00BC2D08" w:rsidRDefault="00E87144" w:rsidP="002D68E5">
            <w:pPr>
              <w:rPr>
                <w:rFonts w:ascii="Calibri" w:eastAsia="Calibri" w:hAnsi="Calibri" w:cs="Arial"/>
                <w:sz w:val="20"/>
                <w:szCs w:val="20"/>
              </w:rPr>
            </w:pPr>
            <w:r w:rsidRPr="00BC2D08">
              <w:rPr>
                <w:rFonts w:ascii="Calibri" w:eastAsia="Calibri" w:hAnsi="Calibri" w:cs="Arial"/>
                <w:sz w:val="20"/>
                <w:szCs w:val="20"/>
              </w:rPr>
              <w:t>Work with landowners to develop carbon and natural capital regeneration projects. Piloting in-house LCA tool for landowners</w:t>
            </w:r>
          </w:p>
        </w:tc>
        <w:tc>
          <w:tcPr>
            <w:tcW w:w="378" w:type="pct"/>
          </w:tcPr>
          <w:p w14:paraId="3ECFD30A" w14:textId="77777777" w:rsidR="00E87144" w:rsidRPr="00BC2D08" w:rsidRDefault="00E87144" w:rsidP="002D68E5">
            <w:pPr>
              <w:rPr>
                <w:rFonts w:ascii="Calibri" w:eastAsia="Calibri" w:hAnsi="Calibri" w:cs="Arial"/>
                <w:sz w:val="20"/>
                <w:szCs w:val="20"/>
              </w:rPr>
            </w:pPr>
            <w:r w:rsidRPr="00BC2D08">
              <w:rPr>
                <w:rFonts w:ascii="Calibri" w:eastAsia="Calibri" w:hAnsi="Calibri" w:cs="Arial"/>
                <w:sz w:val="20"/>
                <w:szCs w:val="20"/>
              </w:rPr>
              <w:t>LCA and scenario planning Tool</w:t>
            </w:r>
          </w:p>
        </w:tc>
        <w:tc>
          <w:tcPr>
            <w:tcW w:w="925" w:type="pct"/>
          </w:tcPr>
          <w:p w14:paraId="45DFF023" w14:textId="77777777" w:rsidR="00E87144" w:rsidRPr="00BC2D08" w:rsidRDefault="00E87144" w:rsidP="002D68E5">
            <w:pPr>
              <w:rPr>
                <w:rFonts w:ascii="Calibri" w:eastAsia="Calibri" w:hAnsi="Calibri" w:cs="Arial"/>
                <w:sz w:val="20"/>
                <w:szCs w:val="20"/>
              </w:rPr>
            </w:pPr>
            <w:r w:rsidRPr="00BC2D08">
              <w:rPr>
                <w:rFonts w:ascii="Calibri" w:eastAsia="Calibri" w:hAnsi="Calibri" w:cs="Arial"/>
                <w:sz w:val="20"/>
                <w:szCs w:val="20"/>
              </w:rPr>
              <w:t>Yes</w:t>
            </w:r>
          </w:p>
        </w:tc>
        <w:tc>
          <w:tcPr>
            <w:tcW w:w="1017" w:type="pct"/>
          </w:tcPr>
          <w:p w14:paraId="3B0C4FD3" w14:textId="77777777" w:rsidR="00E87144" w:rsidRPr="00BC2D08" w:rsidRDefault="00E87144" w:rsidP="002D68E5">
            <w:pPr>
              <w:rPr>
                <w:rFonts w:ascii="Calibri" w:eastAsia="Calibri" w:hAnsi="Calibri" w:cs="Arial"/>
                <w:sz w:val="20"/>
                <w:szCs w:val="20"/>
                <w:highlight w:val="yellow"/>
              </w:rPr>
            </w:pPr>
            <w:r w:rsidRPr="00BC2D08">
              <w:rPr>
                <w:rFonts w:ascii="Calibri" w:eastAsia="Calibri" w:hAnsi="Calibri" w:cs="Arial"/>
                <w:sz w:val="20"/>
                <w:szCs w:val="20"/>
              </w:rPr>
              <w:t>Potentially; The quantification approach for specific activities embedded in the tool could be submitted for review under an existing methodology.</w:t>
            </w:r>
          </w:p>
        </w:tc>
        <w:tc>
          <w:tcPr>
            <w:tcW w:w="1017" w:type="pct"/>
          </w:tcPr>
          <w:p w14:paraId="625F14B6" w14:textId="77777777" w:rsidR="00E87144" w:rsidRPr="00BC2D08" w:rsidRDefault="00E87144" w:rsidP="002D68E5">
            <w:pPr>
              <w:rPr>
                <w:rFonts w:ascii="Calibri" w:eastAsia="Calibri" w:hAnsi="Calibri" w:cs="Arial"/>
                <w:sz w:val="20"/>
                <w:szCs w:val="20"/>
                <w:highlight w:val="yellow"/>
              </w:rPr>
            </w:pPr>
            <w:r w:rsidRPr="00BC2D08">
              <w:rPr>
                <w:rFonts w:ascii="Calibri" w:eastAsia="Calibri" w:hAnsi="Calibri" w:cs="Arial"/>
                <w:sz w:val="20"/>
                <w:szCs w:val="20"/>
              </w:rPr>
              <w:t>Potentially; The quantification approach for specific activities embedded in the tool could be submitted for review under an existing methodology.</w:t>
            </w:r>
          </w:p>
        </w:tc>
      </w:tr>
    </w:tbl>
    <w:p w14:paraId="657E8D6D" w14:textId="77777777" w:rsidR="00E87144" w:rsidRDefault="00E87144" w:rsidP="002F1B0B">
      <w:pPr>
        <w:spacing w:after="0" w:line="240" w:lineRule="auto"/>
        <w:rPr>
          <w:rFonts w:cs="Arial"/>
        </w:rPr>
        <w:sectPr w:rsidR="00E87144" w:rsidSect="00E87144">
          <w:pgSz w:w="16838" w:h="11906" w:orient="landscape"/>
          <w:pgMar w:top="1440" w:right="1440" w:bottom="1440" w:left="1440" w:header="709" w:footer="709" w:gutter="0"/>
          <w:cols w:space="708"/>
          <w:titlePg/>
          <w:docGrid w:linePitch="360"/>
        </w:sectPr>
      </w:pPr>
    </w:p>
    <w:p w14:paraId="5DA77CF6" w14:textId="36F0ABD2" w:rsidR="00377D65" w:rsidRPr="00377D65" w:rsidRDefault="00377D65" w:rsidP="00E11386">
      <w:pPr>
        <w:pStyle w:val="Heading2"/>
      </w:pPr>
      <w:bookmarkStart w:id="57" w:name="_Toc86672231"/>
      <w:bookmarkStart w:id="58" w:name="_Toc45718842"/>
      <w:r>
        <w:lastRenderedPageBreak/>
        <w:t xml:space="preserve">  </w:t>
      </w:r>
      <w:bookmarkStart w:id="59" w:name="_Toc88494286"/>
      <w:r w:rsidRPr="00377D65">
        <w:t>SustainCERT’s end-to-end solution</w:t>
      </w:r>
      <w:bookmarkEnd w:id="57"/>
      <w:bookmarkEnd w:id="59"/>
    </w:p>
    <w:p w14:paraId="7D71D795" w14:textId="77777777" w:rsidR="00377D65" w:rsidRPr="00377D65" w:rsidRDefault="00377D65" w:rsidP="00377D65">
      <w:pPr>
        <w:jc w:val="both"/>
      </w:pPr>
      <w:r w:rsidRPr="00377D65">
        <w:t>With a global perspective SustainCERT’s Value Change Initiative (VCI) has identified that large corporates are under increasing demand to not only measure and manage their supply chain emissions but to find a way to credibly report on those emissions. The SustainCERT Platform is being built to accommodate a broad range of participants from the red meat supply chain including producers, feedlot owners, processors and both red meat wholesalers and retailers. Stakeholder engagement throughout the piloting phase will inform the supply chain actors who can implement interventions and what the reporting requirements are, which will be specific to buyers and corporate needs. This will create demand for sector-specific outputs and, in return, incentivise capacity to deliver and to generate supply.</w:t>
      </w:r>
    </w:p>
    <w:p w14:paraId="136876C1" w14:textId="77777777" w:rsidR="00377D65" w:rsidRPr="00377D65" w:rsidRDefault="00377D65" w:rsidP="00377D65">
      <w:pPr>
        <w:jc w:val="both"/>
      </w:pPr>
      <w:r w:rsidRPr="00377D65">
        <w:t xml:space="preserve">SustainCERT has been developing a digital platform to enable a flow of data from their Digital Monitoring, Reporting and Verification (D-MRV) process straight to an emissions factor tracking module called the Impact Factor Tracking Mechanism (IFTM) for supply chain reporting trajectories. This data flow and the connectivity between modules is presented in Fig. 10 below.  </w:t>
      </w:r>
    </w:p>
    <w:p w14:paraId="29A074E6" w14:textId="77777777" w:rsidR="00377D65" w:rsidRPr="00377D65" w:rsidRDefault="00377D65" w:rsidP="00377D65">
      <w:pPr>
        <w:rPr>
          <w:b/>
          <w:bCs/>
        </w:rPr>
      </w:pPr>
      <w:r w:rsidRPr="00377D65">
        <w:rPr>
          <w:b/>
          <w:bCs/>
        </w:rPr>
        <w:t>Figure 10. An overview of the end-to-end process for digitising the data collection on farm, automation of GHG calculations and route to outcome – Carbon market or supply chain reporting</w:t>
      </w:r>
    </w:p>
    <w:p w14:paraId="0BB16A88" w14:textId="77777777" w:rsidR="00377D65" w:rsidRPr="00377D65" w:rsidRDefault="00377D65" w:rsidP="00377D65">
      <w:r w:rsidRPr="00377D65">
        <w:rPr>
          <w:noProof/>
          <w:color w:val="2B579A"/>
          <w:shd w:val="clear" w:color="auto" w:fill="E6E6E6"/>
          <w:lang w:eastAsia="en-AU"/>
        </w:rPr>
        <w:drawing>
          <wp:inline distT="0" distB="0" distL="0" distR="0" wp14:anchorId="6CEB25FF" wp14:editId="141D957C">
            <wp:extent cx="5680075" cy="2936875"/>
            <wp:effectExtent l="0" t="0" r="0" b="0"/>
            <wp:docPr id="1066972041" name="Picture 106697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0075" cy="2936875"/>
                    </a:xfrm>
                    <a:prstGeom prst="rect">
                      <a:avLst/>
                    </a:prstGeom>
                    <a:noFill/>
                    <a:ln>
                      <a:noFill/>
                    </a:ln>
                  </pic:spPr>
                </pic:pic>
              </a:graphicData>
            </a:graphic>
          </wp:inline>
        </w:drawing>
      </w:r>
    </w:p>
    <w:p w14:paraId="3050A81E" w14:textId="77777777" w:rsidR="00377D65" w:rsidRPr="00377D65" w:rsidRDefault="00377D65" w:rsidP="00377D65">
      <w:r w:rsidRPr="00377D65">
        <w:t xml:space="preserve">Producers, feed lotters and processors will have access to sector specific SustainCERT decision-tree framework to assist in the evaluation of the most appropriate pathway for their businesses when embarking on an emissions management and reporting project. The decision-tree framework will be refined through the piloting period. The end-to-end platform provides a credible pathway that will, over time, become more efficient for individual users as they digitise their operations and production. As can be seen in Fig. 10 above, the D-MRV architecture streamlines data aggregation, detects errors and calculates, through in-built algorithms and the GHG emissions data. This information is integrated by the data management system and connects to external carbon credit registries, or through to the IFTM for the calculation of the emission factor or enhanced removal associated with the amount of commodity impacted by the project or intervention. This information results in an ‘Impact Unit’ that can be tracked across the value chain and traded between stakeholders who want the right to claim that information for their Scope 3 reporting or other </w:t>
      </w:r>
      <w:r w:rsidRPr="00377D65">
        <w:lastRenderedPageBreak/>
        <w:t>narrative claims. In addition, an important attribute of the Impact Unit is that it can reflect the mass transformation of impacted commodity into its co-products or by-products as it moves downstream. This transformation preserves the mass balance and accumulates emissions associated with the different processes that take place as the product travels through the value chain.</w:t>
      </w:r>
    </w:p>
    <w:p w14:paraId="214E5008" w14:textId="77777777" w:rsidR="00377D65" w:rsidRPr="00377D65" w:rsidRDefault="00377D65" w:rsidP="00377D65">
      <w:pPr>
        <w:jc w:val="both"/>
      </w:pPr>
      <w:r w:rsidRPr="00377D65">
        <w:t xml:space="preserve">Consequently, as with other supply chains, a red meat emissions factor maintains an upward trajectory through each step of the supply chain. The algorithms within the platform apply the increase in the emission factor using intervention-related or default factors for the production, feedlot, transport, processing, packaging, and storage. As the participation increases across the supply shed and other actors implement interventions to meet growing demand such as a feed supplement at the feedlot, or a transport intervention (electric vehicular freight) or a processor installing renewable energy, these accumulating impacts of reducing emissions are tracked and recorded to the correct amount of beef and other by-products. Over time, a supply chain can be expected to show an improved emissions factor for finished products (boxed meat) as operators and producers register their improved emissions profile and any additional activities. The technology provides data protection, secure transactions and facilitates incentives to flow back to the owner of the intervention. </w:t>
      </w:r>
    </w:p>
    <w:p w14:paraId="5461012C" w14:textId="77777777" w:rsidR="00377D65" w:rsidRPr="00377D65" w:rsidRDefault="00377D65" w:rsidP="00377D65">
      <w:r w:rsidRPr="00377D65">
        <w:t xml:space="preserve">The following sections detail different key aspects of the SustainCERT Platform, and a visual walkthrough of the user view of the Platform is included in Appendix A. </w:t>
      </w:r>
    </w:p>
    <w:p w14:paraId="2876CCA7" w14:textId="77777777" w:rsidR="00377D65" w:rsidRPr="00377D65" w:rsidRDefault="00377D65" w:rsidP="007C332D">
      <w:pPr>
        <w:pStyle w:val="Heading3"/>
      </w:pPr>
      <w:bookmarkStart w:id="60" w:name="_Toc86672232"/>
      <w:bookmarkStart w:id="61" w:name="_Toc88494287"/>
      <w:r w:rsidRPr="00377D65">
        <w:t>Digital – Monitoring, Reporting and Verification</w:t>
      </w:r>
      <w:bookmarkEnd w:id="60"/>
      <w:bookmarkEnd w:id="61"/>
    </w:p>
    <w:p w14:paraId="7095EA12" w14:textId="77777777" w:rsidR="00377D65" w:rsidRPr="00377D65" w:rsidRDefault="00377D65" w:rsidP="00377D65">
      <w:pPr>
        <w:rPr>
          <w:b/>
          <w:bCs/>
        </w:rPr>
      </w:pPr>
      <w:r w:rsidRPr="00377D65">
        <w:rPr>
          <w:b/>
          <w:bCs/>
        </w:rPr>
        <w:t xml:space="preserve">Figure 11. The process for the digital monitoring, reporting and verification tool designed for the Gold Standard Foundation. </w:t>
      </w:r>
    </w:p>
    <w:p w14:paraId="4241B8B6" w14:textId="77777777" w:rsidR="00377D65" w:rsidRPr="00377D65" w:rsidRDefault="00377D65" w:rsidP="00377D65">
      <w:r w:rsidRPr="00377D65">
        <w:rPr>
          <w:noProof/>
          <w:color w:val="2B579A"/>
          <w:shd w:val="clear" w:color="auto" w:fill="E6E6E6"/>
          <w:lang w:eastAsia="en-AU"/>
        </w:rPr>
        <w:drawing>
          <wp:inline distT="0" distB="0" distL="0" distR="0" wp14:anchorId="4DFC749D" wp14:editId="69127836">
            <wp:extent cx="5731510" cy="3150235"/>
            <wp:effectExtent l="0" t="0" r="2540" b="0"/>
            <wp:docPr id="1066972042" name="Picture 106697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150235"/>
                    </a:xfrm>
                    <a:prstGeom prst="rect">
                      <a:avLst/>
                    </a:prstGeom>
                    <a:noFill/>
                    <a:ln>
                      <a:noFill/>
                    </a:ln>
                  </pic:spPr>
                </pic:pic>
              </a:graphicData>
            </a:graphic>
          </wp:inline>
        </w:drawing>
      </w:r>
    </w:p>
    <w:p w14:paraId="6E5807D7" w14:textId="77777777" w:rsidR="00377D65" w:rsidRPr="00377D65" w:rsidRDefault="00377D65" w:rsidP="00377D65">
      <w:r w:rsidRPr="00377D65">
        <w:t xml:space="preserve">Beef cattle producers and feedlot operators who implement projects to reduce GHG emissions need to demonstrate, through prescribed processes, real abatement. The emissions reductions or removals needs to be measured, monitored, reported and verified, the steps for this are simplified in Fig. 11 above. Only with credible processes will the producers and feedlot operators earn carbon credits or impact units, such as a lower emission factor. Under the current Australian and international standards for creation of carbon credits, only the guidance, tools and methods that have been developed in compliance with the GHG protocol are accepted as credible. For red meat </w:t>
      </w:r>
      <w:r w:rsidRPr="00377D65">
        <w:lastRenderedPageBreak/>
        <w:t>producers that have adopted technology to monitor inputs and outputs, access to digital systems will be relatively simple.</w:t>
      </w:r>
    </w:p>
    <w:p w14:paraId="4231A842" w14:textId="77777777" w:rsidR="00377D65" w:rsidRPr="00377D65" w:rsidRDefault="00377D65" w:rsidP="00377D65">
      <w:r w:rsidRPr="00377D65">
        <w:t>The cost of accurately measuring a reduction or a removal of greenhouse gas emissions is a barrier to developing carbon reduction or removal projects, not just in Australia but globally. The MRV costs have traditionally been high as it is primarily a manual process of collecting data, storing data in a spreadsheet, checking quality, reporting, and hiring external third-party auditors to verify the data and outcomes. The process is time-consuming and error-prone and requires a high level of expertise. As can be seen in Fig. 12 below, the manual steps are taken in isolation and usually there is little capacity for the efficient flow of data.</w:t>
      </w:r>
    </w:p>
    <w:p w14:paraId="0610CE36" w14:textId="77777777" w:rsidR="00377D65" w:rsidRPr="00377D65" w:rsidRDefault="00377D65" w:rsidP="00377D65">
      <w:pPr>
        <w:rPr>
          <w:b/>
          <w:bCs/>
        </w:rPr>
      </w:pPr>
      <w:r w:rsidRPr="00377D65">
        <w:rPr>
          <w:b/>
          <w:bCs/>
        </w:rPr>
        <w:t>Figure 12. Steps occur quite separately and are paper based for a manual process of monitoring, reporting and verification.</w:t>
      </w:r>
    </w:p>
    <w:p w14:paraId="4DC3A61D" w14:textId="77777777" w:rsidR="00377D65" w:rsidRPr="00377D65" w:rsidRDefault="00377D65" w:rsidP="00377D65">
      <w:r w:rsidRPr="00377D65">
        <w:rPr>
          <w:noProof/>
          <w:color w:val="2B579A"/>
          <w:shd w:val="clear" w:color="auto" w:fill="E6E6E6"/>
          <w:lang w:eastAsia="en-AU"/>
        </w:rPr>
        <w:drawing>
          <wp:inline distT="0" distB="0" distL="0" distR="0" wp14:anchorId="049A8CE8" wp14:editId="381C593A">
            <wp:extent cx="5451231" cy="3131785"/>
            <wp:effectExtent l="19050" t="19050" r="16510" b="12065"/>
            <wp:docPr id="1066972053" name="Picture 106697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3176" cy="3150138"/>
                    </a:xfrm>
                    <a:prstGeom prst="rect">
                      <a:avLst/>
                    </a:prstGeom>
                    <a:noFill/>
                    <a:ln>
                      <a:solidFill>
                        <a:sysClr val="windowText" lastClr="000000"/>
                      </a:solidFill>
                    </a:ln>
                  </pic:spPr>
                </pic:pic>
              </a:graphicData>
            </a:graphic>
          </wp:inline>
        </w:drawing>
      </w:r>
    </w:p>
    <w:p w14:paraId="65C87EB9" w14:textId="77777777" w:rsidR="00377D65" w:rsidRPr="00377D65" w:rsidRDefault="00377D65" w:rsidP="00377D65">
      <w:r w:rsidRPr="00377D65">
        <w:t xml:space="preserve">Digitising the MRV process reduces time, simplifies complexity and can reduce operational costs for all carbon project developers, including land based and carbon farming projects. It allows for increased credibility, real time monitoring and reporting, and frequent issuance of carbon credits or impact units. Where there is a high level of digitisation and automation of data collection, a high level of accuracy occurs, and this has been observed in renewable energy projects where the system is built on automated data collection and storage. </w:t>
      </w:r>
    </w:p>
    <w:p w14:paraId="57B27764" w14:textId="77777777" w:rsidR="00377D65" w:rsidRPr="00377D65" w:rsidRDefault="00377D65" w:rsidP="00377D65">
      <w:r w:rsidRPr="00377D65">
        <w:t xml:space="preserve">Where digitised management tools are not able to be utilised for carbon project management and data collection is manually carried out, aggregated data has been used to provide averaged data points and the result can be categorised as ‘default’ factors. Default factors are conservative to allow room for error, which can result in lower accuracy and lower reporting of abatement estimates. This accuracy uncertainty is the case for many agricultural methods, including the Australian Herd Management method. The SustainCERT D-MRV is designed for and suited to projects where a high level of automated data collection occurs and is most effective when digitised farm management tools are in place. While digitisation of farm management is inevitable, the pace of digital transition could be lifted to increase access and participation. Opportunities to benefit from efficiencies through the use of digital tools that enable participation across a broader suite of programs –including measuring and reporting carbon pools and emissions sources – will materialise in the near </w:t>
      </w:r>
      <w:r w:rsidRPr="00377D65">
        <w:lastRenderedPageBreak/>
        <w:t>future as producers respond to market demand. Moving to automated data collection is the first hurdle of managing emissions and streamlining the capture of data into day-to-day farm management activities is the most efficient way for this to occur. The steps below in Fig. 13 provide an outline of how automated data collection can lead to the outputs required for verification of data for carbon markets or into a purpose-built industry emissions factor tracking process for supply chain reporting.</w:t>
      </w:r>
    </w:p>
    <w:p w14:paraId="749B1EA7" w14:textId="77777777" w:rsidR="00377D65" w:rsidRPr="00377D65" w:rsidRDefault="00377D65" w:rsidP="00377D65">
      <w:pPr>
        <w:rPr>
          <w:b/>
          <w:bCs/>
        </w:rPr>
      </w:pPr>
      <w:r w:rsidRPr="00377D65">
        <w:rPr>
          <w:b/>
          <w:bCs/>
        </w:rPr>
        <w:t>Figure 13. The digitised process allows for data to flow through the workstream, it reduces possibility of errors and increases the speed to the issuance of claims, the efficiencies create operational cost savings.</w:t>
      </w:r>
    </w:p>
    <w:p w14:paraId="7DF3D903" w14:textId="77777777" w:rsidR="00377D65" w:rsidRPr="00377D65" w:rsidRDefault="00377D65" w:rsidP="00377D65">
      <w:r w:rsidRPr="00377D65">
        <w:rPr>
          <w:noProof/>
          <w:color w:val="2B579A"/>
          <w:shd w:val="clear" w:color="auto" w:fill="E6E6E6"/>
          <w:lang w:eastAsia="en-AU"/>
        </w:rPr>
        <w:drawing>
          <wp:inline distT="0" distB="0" distL="0" distR="0" wp14:anchorId="3297E1B5" wp14:editId="6E816335">
            <wp:extent cx="5601851" cy="3089910"/>
            <wp:effectExtent l="19050" t="19050" r="18415" b="15240"/>
            <wp:docPr id="1066972054" name="Picture 106697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2675" cy="3095880"/>
                    </a:xfrm>
                    <a:prstGeom prst="rect">
                      <a:avLst/>
                    </a:prstGeom>
                    <a:noFill/>
                    <a:ln>
                      <a:solidFill>
                        <a:sysClr val="windowText" lastClr="000000"/>
                      </a:solidFill>
                    </a:ln>
                  </pic:spPr>
                </pic:pic>
              </a:graphicData>
            </a:graphic>
          </wp:inline>
        </w:drawing>
      </w:r>
    </w:p>
    <w:p w14:paraId="0ED93B1C" w14:textId="77777777" w:rsidR="00377D65" w:rsidRPr="00377D65" w:rsidRDefault="00377D65" w:rsidP="00377D65">
      <w:r w:rsidRPr="00377D65">
        <w:t>Improvements and efficiencies are made at each automated step as can be seen in Fig. 14 below. In the case of a fully digital MRV process, the user experience will be transformative, and this is attested to by many producers who have switched to a digital farm management tool. The user first needs to invest and commission any technology required for automated data collection and storage, which can be done over time as a continuous improvement farm strategy. Once several or all steps are automated, a user can request reports through a unique log-in through their dashboard to the SustainCERT platform.</w:t>
      </w:r>
    </w:p>
    <w:p w14:paraId="3EBD4DC1" w14:textId="77777777" w:rsidR="00377D65" w:rsidRPr="00377D65" w:rsidRDefault="00377D65" w:rsidP="00377D65">
      <w:pPr>
        <w:rPr>
          <w:b/>
          <w:bCs/>
        </w:rPr>
      </w:pPr>
      <w:r w:rsidRPr="00377D65">
        <w:rPr>
          <w:b/>
          <w:bCs/>
        </w:rPr>
        <w:lastRenderedPageBreak/>
        <w:t>Figure 14. The automation of data collection, storage, processing, and verification increases efficiencies and decreases costs</w:t>
      </w:r>
      <w:r w:rsidRPr="00377D65">
        <w:rPr>
          <w:b/>
          <w:bCs/>
          <w:noProof/>
          <w:color w:val="2B579A"/>
          <w:shd w:val="clear" w:color="auto" w:fill="E6E6E6"/>
          <w:lang w:eastAsia="en-AU"/>
        </w:rPr>
        <w:drawing>
          <wp:inline distT="0" distB="0" distL="0" distR="0" wp14:anchorId="21D34D31" wp14:editId="42452804">
            <wp:extent cx="5478361" cy="2804746"/>
            <wp:effectExtent l="0" t="0" r="8255" b="0"/>
            <wp:docPr id="1066972056" name="Picture 106697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7831" cy="2814714"/>
                    </a:xfrm>
                    <a:prstGeom prst="rect">
                      <a:avLst/>
                    </a:prstGeom>
                    <a:noFill/>
                  </pic:spPr>
                </pic:pic>
              </a:graphicData>
            </a:graphic>
          </wp:inline>
        </w:drawing>
      </w:r>
    </w:p>
    <w:p w14:paraId="7F5CC1DF" w14:textId="77777777" w:rsidR="00377D65" w:rsidRPr="00377D65" w:rsidRDefault="00377D65" w:rsidP="007C332D">
      <w:pPr>
        <w:pStyle w:val="Heading3"/>
      </w:pPr>
      <w:bookmarkStart w:id="62" w:name="_Toc86672233"/>
      <w:bookmarkStart w:id="63" w:name="_Toc88494288"/>
      <w:r w:rsidRPr="00377D65">
        <w:t>Impact Factor Tracking Mechanism</w:t>
      </w:r>
      <w:bookmarkEnd w:id="62"/>
      <w:bookmarkEnd w:id="63"/>
    </w:p>
    <w:p w14:paraId="24868345" w14:textId="77777777" w:rsidR="00377D65" w:rsidRPr="00377D65" w:rsidRDefault="00377D65" w:rsidP="00377D65">
      <w:r w:rsidRPr="00377D65">
        <w:t>SustainCERT, in consultation with stakeholders, has been designing a mechanism to track the emissions factor of a volume of product as it moves through a supply chain using a supply shed or mass balanced approach. The model that is currently being built-out and piloted into a digital platform is the culmination of outputs from experts across supply chains and life cycle assessment, the GHG protocol rules and guidance, as well as in-house technical capabilities and stakeholder engagement.</w:t>
      </w:r>
    </w:p>
    <w:p w14:paraId="5766C043" w14:textId="77777777" w:rsidR="00377D65" w:rsidRPr="00377D65" w:rsidRDefault="00377D65" w:rsidP="00377D65">
      <w:pPr>
        <w:spacing w:line="257" w:lineRule="auto"/>
        <w:rPr>
          <w:rFonts w:ascii="Calibri" w:eastAsia="Calibri" w:hAnsi="Calibri" w:cs="Calibri"/>
        </w:rPr>
      </w:pPr>
      <w:r w:rsidRPr="00377D65">
        <w:rPr>
          <w:rFonts w:ascii="Calibri" w:eastAsia="Calibri" w:hAnsi="Calibri" w:cs="Calibri"/>
        </w:rPr>
        <w:t xml:space="preserve">The initiative to develop industry-specific, digital platforms for tracking low emission products through the value chain is being driven by corporates who are committed to measuring, managing, and reducing their Scope 3 emissions. The Gold Standard Foundation, through its global partnership to develop Value Change Program guidelines, serves as a companion to the GHG protocol </w:t>
      </w:r>
      <w:r w:rsidRPr="00377D65">
        <w:rPr>
          <w:rFonts w:ascii="Calibri" w:hAnsi="Calibri" w:cs="Calibri"/>
          <w:color w:val="000000"/>
          <w:shd w:val="clear" w:color="auto" w:fill="FFFFFF"/>
        </w:rPr>
        <w:t>Scope 3 Standard to recognise and include interventions in reporting towards quantitative GHG reduction performance targets, even in cases where direct knowledge and measurement of specific supply chains is challenging. The GHG Protocol has published a number of guidelines to assist corporates. The goal of incentivising corporates to invest in reducing the carbon footprint of their supply chains comes with a set of issues related to ownership of impact, proof of impact, and claim of impact down the supply chain. SustainCERT’s development of an Impact Factor Tracking Mechanism (IFTM) is designed to address these barriers.</w:t>
      </w:r>
    </w:p>
    <w:p w14:paraId="1BEAAE26" w14:textId="77777777" w:rsidR="00377D65" w:rsidRPr="00377D65" w:rsidRDefault="00377D65" w:rsidP="00377D65">
      <w:pPr>
        <w:spacing w:line="257" w:lineRule="auto"/>
        <w:rPr>
          <w:rFonts w:ascii="Calibri" w:eastAsia="Calibri" w:hAnsi="Calibri" w:cs="Calibri"/>
        </w:rPr>
      </w:pPr>
      <w:r w:rsidRPr="00377D65">
        <w:rPr>
          <w:rFonts w:ascii="Calibri" w:eastAsia="Calibri" w:hAnsi="Calibri" w:cs="Calibri"/>
        </w:rPr>
        <w:t>SustainCERT has leveraged the knowledge and lessons from international participation and experience to translate those benefits to the red meat industry in Australia. The purpose-built ‘use’ case that was proposed and co-designed for MLA and the red meat industry is wireframed for the digital SustainCERT platform, which is now being piloted with partners for a dairy project. Each sector has different emission sources, and carbon sinks and methods for calculating GHG emissions are tailored to activities specific to those source/sinks. Each sector or industry for inclusion into the IFTM has specific characteristics and requires real world testing to ensure that it delivers an industry-specific process for data capture, verification and tracking of emissions through a supply chain while maintaining integrity, security of data and reporting to unlock credible emission claims.</w:t>
      </w:r>
    </w:p>
    <w:p w14:paraId="1527992F" w14:textId="77777777" w:rsidR="00377D65" w:rsidRPr="00377D65" w:rsidRDefault="00377D65" w:rsidP="00377D65">
      <w:pPr>
        <w:spacing w:line="257" w:lineRule="auto"/>
      </w:pPr>
      <w:r w:rsidRPr="00377D65">
        <w:rPr>
          <w:rFonts w:ascii="Calibri" w:eastAsia="Calibri" w:hAnsi="Calibri" w:cs="Calibri"/>
        </w:rPr>
        <w:lastRenderedPageBreak/>
        <w:t xml:space="preserve">SustainCERT, through its partnership with MLA, have developed a </w:t>
      </w:r>
      <w:r w:rsidRPr="00377D65">
        <w:t xml:space="preserve">‘use’ case for Australian red meat. This was to enable a better understanding of how a purpose-built IFTM for red meat would operate and to get an early understanding of some of the practical application issues. The ‘use’ case presents a scenario of how the emissions accumulate down the supply chain, where an intervention could occur and how that is recorded and tracked to a volume of beef. The information which includes the volume of beef and its attributes, such as the emissions factor, is available on the registry so that buyers of red meat can make informed and digitally secure procurement decisions, and the added value of that intervention resulting in a lower emissions factor is tracked back to the owner of the intervention. </w:t>
      </w:r>
    </w:p>
    <w:p w14:paraId="2B2C6E73" w14:textId="77777777" w:rsidR="00377D65" w:rsidRPr="00377D65" w:rsidRDefault="00377D65" w:rsidP="00377D65">
      <w:pPr>
        <w:spacing w:line="257" w:lineRule="auto"/>
      </w:pPr>
      <w:r w:rsidRPr="00377D65">
        <w:rPr>
          <w:rFonts w:ascii="Calibri" w:eastAsia="Calibri" w:hAnsi="Calibri" w:cs="Calibri"/>
        </w:rPr>
        <w:t>Fig. 15 below presents a typical red meat supply chain and the steps within the chain where interventions or activities can take place, using the terminology from the platform to record the details of each intervention. The data is protected and algorithms within the platform provide the subsequent changes to the emission factor as product flows down the supply chain.</w:t>
      </w:r>
    </w:p>
    <w:p w14:paraId="62960B77" w14:textId="77777777" w:rsidR="00377D65" w:rsidRPr="00377D65" w:rsidRDefault="00377D65" w:rsidP="00377D65">
      <w:pPr>
        <w:rPr>
          <w:rFonts w:eastAsiaTheme="minorEastAsia"/>
          <w:b/>
          <w:bCs/>
          <w:iCs/>
          <w:color w:val="000000" w:themeColor="text1"/>
        </w:rPr>
      </w:pPr>
      <w:r w:rsidRPr="00377D65">
        <w:rPr>
          <w:rFonts w:eastAsiaTheme="minorEastAsia"/>
          <w:b/>
          <w:bCs/>
          <w:iCs/>
          <w:color w:val="000000" w:themeColor="text1"/>
        </w:rPr>
        <w:t xml:space="preserve">Figure 15. The red meat supply chain can support multiple activities that reduces an emission factor, and these are registered on the platform and traced through to the transaction. </w:t>
      </w:r>
    </w:p>
    <w:p w14:paraId="3142BE55" w14:textId="77777777" w:rsidR="00377D65" w:rsidRPr="00377D65" w:rsidRDefault="00377D65" w:rsidP="00377D65">
      <w:r w:rsidRPr="00377D65">
        <w:rPr>
          <w:noProof/>
          <w:color w:val="2B579A"/>
          <w:shd w:val="clear" w:color="auto" w:fill="E6E6E6"/>
          <w:lang w:eastAsia="en-AU"/>
        </w:rPr>
        <w:drawing>
          <wp:inline distT="0" distB="0" distL="0" distR="0" wp14:anchorId="721D0BC6" wp14:editId="5F59A177">
            <wp:extent cx="5754768" cy="3249444"/>
            <wp:effectExtent l="19050" t="19050" r="1778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80025" cy="3263705"/>
                    </a:xfrm>
                    <a:prstGeom prst="rect">
                      <a:avLst/>
                    </a:prstGeom>
                    <a:noFill/>
                    <a:ln>
                      <a:solidFill>
                        <a:sysClr val="windowText" lastClr="000000"/>
                      </a:solidFill>
                    </a:ln>
                  </pic:spPr>
                </pic:pic>
              </a:graphicData>
            </a:graphic>
          </wp:inline>
        </w:drawing>
      </w:r>
    </w:p>
    <w:p w14:paraId="688C7E25" w14:textId="77777777" w:rsidR="00377D65" w:rsidRPr="00377D65" w:rsidRDefault="00377D65" w:rsidP="00377D65">
      <w:pPr>
        <w:spacing w:line="257" w:lineRule="auto"/>
        <w:rPr>
          <w:rFonts w:eastAsiaTheme="minorEastAsia"/>
        </w:rPr>
      </w:pPr>
      <w:r w:rsidRPr="00377D65">
        <w:rPr>
          <w:rFonts w:eastAsiaTheme="minorEastAsia"/>
        </w:rPr>
        <w:t>Corporates in a value chain must be able to claim that the commodity they source is associated with the same supply shed as the improved emission factors. The impact of an intervention on a commodity must therefore be traced from the point of production to the point of consumption, while protecting commercially sensitive information. Because supply chains change over time and can be deep and complex with variable data quality, it may be impractical to investigate in detail and/or to act on directly with original suppliers. The system must therefore allow the tracking of environmental attributes without the actual physical tracking of the commodity all the way up to the exact producer, if it can be shown that the commodity is sourced from the same market (supply shed), it is effectively de-bundled. Furthermore, the mechanism must ensure that what is claimed overall is capped at what the intervention has delivered as an outcome.</w:t>
      </w:r>
    </w:p>
    <w:p w14:paraId="70D04547" w14:textId="77777777" w:rsidR="00377D65" w:rsidRPr="00377D65" w:rsidRDefault="00377D65" w:rsidP="007C332D">
      <w:pPr>
        <w:pStyle w:val="Heading3"/>
      </w:pPr>
      <w:bookmarkStart w:id="64" w:name="_Toc86672234"/>
      <w:bookmarkStart w:id="65" w:name="_Toc88494289"/>
      <w:r w:rsidRPr="00377D65">
        <w:lastRenderedPageBreak/>
        <w:t>Australian beef supply chain example</w:t>
      </w:r>
      <w:bookmarkEnd w:id="64"/>
      <w:bookmarkEnd w:id="65"/>
    </w:p>
    <w:p w14:paraId="00FEADF5" w14:textId="77777777" w:rsidR="00377D65" w:rsidRPr="00377D65" w:rsidRDefault="00377D65" w:rsidP="00377D65">
      <w:pPr>
        <w:spacing w:line="257" w:lineRule="auto"/>
        <w:rPr>
          <w:rFonts w:eastAsiaTheme="minorEastAsia"/>
        </w:rPr>
      </w:pPr>
      <w:r w:rsidRPr="00377D65">
        <w:rPr>
          <w:rFonts w:eastAsiaTheme="minorEastAsia"/>
        </w:rPr>
        <w:t>A sample ‘use’ case was conducted to map and understand the Australian beef supply chain and intervention potential which focused on the project type of reducing enteric methane production at the feedlot. It showcases the hypothetical impact of using an enteric methane inhibitor in the feed of beef cattle on the emission factor of retail cuts supplied to the Japanese market. The ‘use’ case is based on a study carried out by MLA on the carbon reduction opportunities of the feedlot industry (2021</w:t>
      </w:r>
      <w:r w:rsidRPr="00377D65">
        <w:rPr>
          <w:rFonts w:eastAsiaTheme="minorEastAsia"/>
          <w:vertAlign w:val="superscript"/>
        </w:rPr>
        <w:t>3</w:t>
      </w:r>
      <w:r w:rsidRPr="00377D65">
        <w:rPr>
          <w:rFonts w:eastAsiaTheme="minorEastAsia"/>
        </w:rPr>
        <w:t xml:space="preserve">). The ‘use’ case showed the potential impact of adding </w:t>
      </w:r>
      <w:r w:rsidRPr="00377D65">
        <w:rPr>
          <w:rFonts w:eastAsiaTheme="minorEastAsia"/>
          <w:i/>
          <w:iCs/>
        </w:rPr>
        <w:t>Asparagopsis</w:t>
      </w:r>
      <w:r w:rsidRPr="00377D65">
        <w:rPr>
          <w:rFonts w:eastAsiaTheme="minorEastAsia"/>
        </w:rPr>
        <w:t xml:space="preserve"> as 0.39% dry matter intake (DMI) to cattle with 200 days at the feedlot. Value chain impacts, such as transportation and energy use for processing and storage, were modelled using industry averages and default factors. The resulting emission factor is a ratio of the overall carbon footprint by the mass of the retail cut. This represents a complete allocation of the carbon footprint of the beef cattle and its value chain impacts to the mass of retail cut, approximately 37% of the cattle beef liveweight. Fig. 16 compares the emission factor of a baseline or ‘business as usual’ scenario and a post-intervention scenario. The result shows an approximate reduction of up to 15.5% in the emission factor of the retail cut, in comparison with the baseline condition.</w:t>
      </w:r>
    </w:p>
    <w:p w14:paraId="4564388A" w14:textId="77777777" w:rsidR="00377D65" w:rsidRPr="00377D65" w:rsidRDefault="00377D65" w:rsidP="00377D65">
      <w:pPr>
        <w:spacing w:line="257" w:lineRule="auto"/>
        <w:jc w:val="both"/>
        <w:rPr>
          <w:rFonts w:eastAsiaTheme="minorEastAsia"/>
          <w:b/>
          <w:bCs/>
        </w:rPr>
      </w:pPr>
      <w:r w:rsidRPr="00377D65">
        <w:rPr>
          <w:rFonts w:eastAsiaTheme="minorEastAsia"/>
          <w:b/>
          <w:bCs/>
        </w:rPr>
        <w:t xml:space="preserve">Figure 16. Comparison between the potential emission factors of a beef retail cuts in a post intervention using </w:t>
      </w:r>
      <w:r w:rsidRPr="00377D65">
        <w:rPr>
          <w:rFonts w:eastAsiaTheme="minorEastAsia"/>
          <w:b/>
          <w:bCs/>
          <w:i/>
          <w:iCs/>
        </w:rPr>
        <w:t>Asparagopsis</w:t>
      </w:r>
      <w:r w:rsidRPr="00377D65">
        <w:rPr>
          <w:rFonts w:eastAsiaTheme="minorEastAsia"/>
          <w:b/>
          <w:bCs/>
        </w:rPr>
        <w:t xml:space="preserve"> (0.39% DMI) and baseline conditions for beef cattle with 200 days at feedlot in Australia.</w:t>
      </w:r>
    </w:p>
    <w:p w14:paraId="30D9EA3D" w14:textId="77777777" w:rsidR="00377D65" w:rsidRPr="00377D65" w:rsidRDefault="00377D65" w:rsidP="00E618CB">
      <w:pPr>
        <w:jc w:val="center"/>
      </w:pPr>
      <w:r w:rsidRPr="00377D65">
        <w:rPr>
          <w:noProof/>
          <w:color w:val="2B579A"/>
          <w:shd w:val="clear" w:color="auto" w:fill="E6E6E6"/>
          <w:lang w:eastAsia="en-AU"/>
        </w:rPr>
        <w:drawing>
          <wp:inline distT="0" distB="0" distL="0" distR="0" wp14:anchorId="0C9439DC" wp14:editId="2D7C686B">
            <wp:extent cx="4572000" cy="3055620"/>
            <wp:effectExtent l="19050" t="19050" r="1905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3055620"/>
                    </a:xfrm>
                    <a:prstGeom prst="rect">
                      <a:avLst/>
                    </a:prstGeom>
                    <a:noFill/>
                    <a:ln>
                      <a:solidFill>
                        <a:sysClr val="windowText" lastClr="000000"/>
                      </a:solidFill>
                    </a:ln>
                  </pic:spPr>
                </pic:pic>
              </a:graphicData>
            </a:graphic>
          </wp:inline>
        </w:drawing>
      </w:r>
    </w:p>
    <w:p w14:paraId="32FBFEE0" w14:textId="77777777" w:rsidR="00377D65" w:rsidRPr="00377D65" w:rsidRDefault="00377D65" w:rsidP="00377D65">
      <w:pPr>
        <w:rPr>
          <w:rFonts w:eastAsiaTheme="minorEastAsia"/>
          <w:color w:val="000000" w:themeColor="text1"/>
        </w:rPr>
      </w:pPr>
      <w:r w:rsidRPr="00377D65">
        <w:rPr>
          <w:rFonts w:eastAsiaTheme="minorEastAsia"/>
          <w:color w:val="000000" w:themeColor="text1"/>
        </w:rPr>
        <w:t>Furthermore, value chain actors including feedlot owners, pastoralists, brand owners and processors are all able to participate on the digital platform, where their volume of beef and impacts (i.e., lower emission factor) is registered. Buyers will have direct access to the digital information. As participation grows through demand, supply and access, buyers of co-products (or by-products) seeking low emission factor opportunities for their own Scope 3 obligations will join. Fig. 17 below identifies additional value streams for producers and lot-feeders that have invested in lowering the emission intensity of their cattle with the sale of by-products outside the red meat consumption route.</w:t>
      </w:r>
    </w:p>
    <w:p w14:paraId="086DB39E" w14:textId="77777777" w:rsidR="00377D65" w:rsidRPr="00377D65" w:rsidRDefault="00377D65" w:rsidP="00377D65"/>
    <w:p w14:paraId="03A08890" w14:textId="77777777" w:rsidR="00377D65" w:rsidRPr="00377D65" w:rsidRDefault="00377D65" w:rsidP="00377D65">
      <w:pPr>
        <w:rPr>
          <w:rFonts w:eastAsiaTheme="minorEastAsia"/>
          <w:b/>
          <w:bCs/>
          <w:color w:val="000000" w:themeColor="text1"/>
        </w:rPr>
      </w:pPr>
      <w:r w:rsidRPr="00377D65">
        <w:rPr>
          <w:b/>
          <w:bCs/>
        </w:rPr>
        <w:lastRenderedPageBreak/>
        <w:t xml:space="preserve">Figure 17. illustrates where other sectors with emission targets can take the opportunity to participate in the digital platform by purchasing lower emission factor co-products. </w:t>
      </w:r>
    </w:p>
    <w:p w14:paraId="40A3B03D" w14:textId="77777777" w:rsidR="00377D65" w:rsidRPr="00377D65" w:rsidRDefault="00377D65" w:rsidP="00377D65">
      <w:r w:rsidRPr="00377D65">
        <w:rPr>
          <w:noProof/>
          <w:color w:val="2B579A"/>
          <w:shd w:val="clear" w:color="auto" w:fill="E6E6E6"/>
          <w:lang w:eastAsia="en-AU"/>
        </w:rPr>
        <w:drawing>
          <wp:inline distT="0" distB="0" distL="0" distR="0" wp14:anchorId="18BE8CE4" wp14:editId="612FCD42">
            <wp:extent cx="5731510" cy="3272155"/>
            <wp:effectExtent l="0" t="0" r="254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272155"/>
                    </a:xfrm>
                    <a:prstGeom prst="rect">
                      <a:avLst/>
                    </a:prstGeom>
                    <a:noFill/>
                    <a:ln>
                      <a:noFill/>
                    </a:ln>
                  </pic:spPr>
                </pic:pic>
              </a:graphicData>
            </a:graphic>
          </wp:inline>
        </w:drawing>
      </w:r>
    </w:p>
    <w:p w14:paraId="62ACE947" w14:textId="77777777" w:rsidR="00377D65" w:rsidRPr="00377D65" w:rsidRDefault="00377D65" w:rsidP="00377D65">
      <w:pPr>
        <w:rPr>
          <w:rFonts w:eastAsiaTheme="minorEastAsia"/>
          <w:color w:val="000000" w:themeColor="text1"/>
        </w:rPr>
      </w:pPr>
      <w:r w:rsidRPr="00377D65">
        <w:rPr>
          <w:rFonts w:eastAsiaTheme="minorEastAsia"/>
          <w:color w:val="000000" w:themeColor="text1"/>
        </w:rPr>
        <w:t>The supply shed or mass balanced approach to tracking attributes through the supply chain has been tested with other commodities such as renewable energy, Fairtrade coffee and deforestation-free cocoa, to name a few. Fig. 18 below presents a scenario where participants across the supply chain register an intervention. Where an intervention occurs, the data from that ‘owner’ in the intervention is captured through an automated data process (via an API) and the platform’s built-in GHG calculator produces the improved emission factor, and the same volume of beef (associated with the improved emission factor) continues to flow through the supply chain. When the purchase is made, the transaction traces the attributes back to the ‘owner’ to allow for value-capture and the purchaser has the record of the transaction for supply chain reporting.</w:t>
      </w:r>
    </w:p>
    <w:p w14:paraId="1E7E2FD2" w14:textId="77777777" w:rsidR="00377D65" w:rsidRPr="00377D65" w:rsidRDefault="00377D65" w:rsidP="00377D65">
      <w:pPr>
        <w:rPr>
          <w:rFonts w:eastAsiaTheme="minorEastAsia"/>
          <w:color w:val="000000" w:themeColor="text1"/>
        </w:rPr>
      </w:pPr>
      <w:r w:rsidRPr="00377D65">
        <w:rPr>
          <w:rFonts w:eastAsiaTheme="minorEastAsia"/>
          <w:color w:val="000000" w:themeColor="text1"/>
        </w:rPr>
        <w:br w:type="page"/>
      </w:r>
    </w:p>
    <w:p w14:paraId="69FD5BC3" w14:textId="77777777" w:rsidR="00377D65" w:rsidRPr="00377D65" w:rsidRDefault="00377D65" w:rsidP="00377D65">
      <w:pPr>
        <w:rPr>
          <w:rFonts w:eastAsiaTheme="minorEastAsia"/>
          <w:b/>
          <w:bCs/>
          <w:color w:val="000000" w:themeColor="text1"/>
          <w:sz w:val="24"/>
          <w:szCs w:val="24"/>
        </w:rPr>
      </w:pPr>
      <w:r w:rsidRPr="00377D65">
        <w:rPr>
          <w:rFonts w:eastAsiaTheme="minorEastAsia"/>
          <w:b/>
          <w:bCs/>
          <w:color w:val="000000" w:themeColor="text1"/>
          <w:sz w:val="24"/>
          <w:szCs w:val="24"/>
        </w:rPr>
        <w:lastRenderedPageBreak/>
        <w:t>Figure 18 The supply shed approach, allows for interventions to occur at all layers of the supply chain and the resulting lower emissions are balanced at the transaction stage.</w:t>
      </w:r>
    </w:p>
    <w:p w14:paraId="37B624D4" w14:textId="77777777" w:rsidR="00377D65" w:rsidRPr="00377D65" w:rsidRDefault="00377D65" w:rsidP="00377D65">
      <w:r w:rsidRPr="00377D65">
        <w:rPr>
          <w:noProof/>
          <w:color w:val="2B579A"/>
          <w:shd w:val="clear" w:color="auto" w:fill="E6E6E6"/>
          <w:lang w:eastAsia="en-AU"/>
        </w:rPr>
        <w:drawing>
          <wp:inline distT="0" distB="0" distL="0" distR="0" wp14:anchorId="01E2534B" wp14:editId="62A21074">
            <wp:extent cx="5730616" cy="3132306"/>
            <wp:effectExtent l="19050" t="19050" r="2286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6456" cy="3146430"/>
                    </a:xfrm>
                    <a:prstGeom prst="rect">
                      <a:avLst/>
                    </a:prstGeom>
                    <a:noFill/>
                    <a:ln>
                      <a:solidFill>
                        <a:sysClr val="windowText" lastClr="000000"/>
                      </a:solidFill>
                    </a:ln>
                  </pic:spPr>
                </pic:pic>
              </a:graphicData>
            </a:graphic>
          </wp:inline>
        </w:drawing>
      </w:r>
    </w:p>
    <w:p w14:paraId="61AF9C73" w14:textId="77777777" w:rsidR="00377D65" w:rsidRPr="00377D65" w:rsidRDefault="00377D65" w:rsidP="00377D65">
      <w:r w:rsidRPr="00377D65">
        <w:br w:type="page"/>
      </w:r>
    </w:p>
    <w:p w14:paraId="2911D3E7" w14:textId="5E3A5552" w:rsidR="00377D65" w:rsidRPr="00377D65" w:rsidRDefault="00377D65" w:rsidP="00E11386">
      <w:pPr>
        <w:pStyle w:val="Heading2"/>
      </w:pPr>
      <w:bookmarkStart w:id="66" w:name="_Toc86672235"/>
      <w:r>
        <w:lastRenderedPageBreak/>
        <w:t xml:space="preserve">   </w:t>
      </w:r>
      <w:bookmarkStart w:id="67" w:name="_Toc88494290"/>
      <w:r w:rsidRPr="00377D65">
        <w:t>SustainCERT Platform Global progress report</w:t>
      </w:r>
      <w:bookmarkEnd w:id="66"/>
      <w:bookmarkEnd w:id="67"/>
    </w:p>
    <w:p w14:paraId="2BFAFC84" w14:textId="77777777" w:rsidR="00377D65" w:rsidRPr="00377D65" w:rsidRDefault="00377D65" w:rsidP="00377D65">
      <w:pPr>
        <w:jc w:val="both"/>
        <w:rPr>
          <w:rFonts w:eastAsiaTheme="minorEastAsia"/>
          <w:color w:val="000000" w:themeColor="text1"/>
        </w:rPr>
      </w:pPr>
      <w:r w:rsidRPr="00377D65">
        <w:rPr>
          <w:rFonts w:eastAsiaTheme="minorEastAsia"/>
          <w:color w:val="000000" w:themeColor="text1"/>
        </w:rPr>
        <w:t xml:space="preserve">The components of the SustainCERT Platform including the D-MRV, IFTM, and associated supply chain verification requirements are being developed and tested in parallel with valuable input from the MLA partnership, as well as various other corporates and organisations including General Mills, Rabobank and the Ecosystem Services Market Consortium, and South Pole. Additional pilots, partnerships and ‘use’ cases are planned for 2022 to continue facilitating feature development and implementation. </w:t>
      </w:r>
    </w:p>
    <w:p w14:paraId="56B62540" w14:textId="77777777" w:rsidR="00377D65" w:rsidRPr="00377D65" w:rsidRDefault="00377D65" w:rsidP="00377D65">
      <w:pPr>
        <w:jc w:val="both"/>
        <w:rPr>
          <w:rFonts w:eastAsiaTheme="minorEastAsia"/>
          <w:color w:val="000000" w:themeColor="text1"/>
        </w:rPr>
      </w:pPr>
      <w:r w:rsidRPr="00377D65">
        <w:rPr>
          <w:rFonts w:eastAsiaTheme="minorEastAsia"/>
          <w:color w:val="000000" w:themeColor="text1"/>
        </w:rPr>
        <w:t>The D-MRV module is currently underway with a pilot on a Gold Standard certified solar project. Two additional assessments are simultaneously underway to evaluate soil organic carbon sampling and D-MRV solutions, including modelling as they relate to both carbon credit and Scope 3 trajectories. For 2022, key priority activities identified by partners and designated by SustainCERT for D-MRV testing are land use, forestry and agriculture. South Pole as a project and pilot partner is looking at ways to integrate the D-MRV process across their carbon project portfolio which is illustrated below in Fig. 19. These sectors are relevant for Australian producers who want to generate on-farm carbon credits from nature-based solutions.</w:t>
      </w:r>
    </w:p>
    <w:p w14:paraId="24BFE52A" w14:textId="77777777" w:rsidR="00377D65" w:rsidRPr="00377D65" w:rsidRDefault="00377D65" w:rsidP="00377D65">
      <w:pPr>
        <w:rPr>
          <w:rFonts w:eastAsia="Lato" w:cstheme="minorHAnsi"/>
          <w:b/>
          <w:bCs/>
          <w:iCs/>
        </w:rPr>
      </w:pPr>
      <w:r w:rsidRPr="00377D65">
        <w:rPr>
          <w:rFonts w:eastAsia="Lato" w:cstheme="minorHAnsi"/>
          <w:b/>
          <w:bCs/>
          <w:iCs/>
        </w:rPr>
        <w:t>Figure 19. Protocol for Digitised Monitoring, Reporting and Verification (D-MRV Protocol). Source: South Pole 2020)</w:t>
      </w:r>
    </w:p>
    <w:p w14:paraId="70C738B9" w14:textId="77777777" w:rsidR="00377D65" w:rsidRPr="00377D65" w:rsidRDefault="00377D65" w:rsidP="00377D65">
      <w:pPr>
        <w:rPr>
          <w:rFonts w:eastAsiaTheme="minorEastAsia"/>
          <w:color w:val="000000" w:themeColor="text1"/>
        </w:rPr>
      </w:pPr>
      <w:r w:rsidRPr="00377D65">
        <w:rPr>
          <w:noProof/>
          <w:color w:val="2B579A"/>
          <w:shd w:val="clear" w:color="auto" w:fill="E6E6E6"/>
          <w:lang w:eastAsia="en-AU"/>
        </w:rPr>
        <w:drawing>
          <wp:inline distT="0" distB="0" distL="0" distR="0" wp14:anchorId="7E5E126C" wp14:editId="79F5B9BC">
            <wp:extent cx="5731510" cy="2932430"/>
            <wp:effectExtent l="19050" t="19050" r="21590"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932430"/>
                    </a:xfrm>
                    <a:prstGeom prst="rect">
                      <a:avLst/>
                    </a:prstGeom>
                    <a:noFill/>
                    <a:ln>
                      <a:solidFill>
                        <a:sysClr val="windowText" lastClr="000000"/>
                      </a:solidFill>
                    </a:ln>
                  </pic:spPr>
                </pic:pic>
              </a:graphicData>
            </a:graphic>
          </wp:inline>
        </w:drawing>
      </w:r>
    </w:p>
    <w:p w14:paraId="25D80174" w14:textId="77777777" w:rsidR="00377D65" w:rsidRPr="00377D65" w:rsidRDefault="00377D65" w:rsidP="00377D65">
      <w:pPr>
        <w:rPr>
          <w:rFonts w:eastAsiaTheme="minorEastAsia"/>
          <w:color w:val="000000" w:themeColor="text1"/>
        </w:rPr>
      </w:pPr>
      <w:r w:rsidRPr="00377D65">
        <w:rPr>
          <w:rFonts w:eastAsiaTheme="minorEastAsia"/>
          <w:color w:val="000000" w:themeColor="text1"/>
        </w:rPr>
        <w:t>In addition to MLA, the IFTM has been engaged in two other use case trajectories focused on emission factor development and GHG accounting. A third trajectory focusing on the US and European dairy sector commenced in October 2021 to test the transaction process, with the goal to issue and trade the first impact units in mid to late 2022. Moreover, these use cases provide additional input for the development of the digital tool’s user interface and functionalities. A prototype of the IFTM will be available for testing and demonstration at the close of 2021 and a Minimum Viable Product with selected partners by mid-2022. A commercial launch is expected by the beginning of 2023.</w:t>
      </w:r>
    </w:p>
    <w:p w14:paraId="6ABC7683" w14:textId="77777777" w:rsidR="00377D65" w:rsidRPr="00377D65" w:rsidRDefault="00377D65" w:rsidP="00377D65">
      <w:pPr>
        <w:rPr>
          <w:rFonts w:eastAsiaTheme="minorEastAsia"/>
          <w:color w:val="000000" w:themeColor="text1"/>
        </w:rPr>
      </w:pPr>
      <w:r w:rsidRPr="00377D65">
        <w:rPr>
          <w:rFonts w:eastAsiaTheme="minorEastAsia"/>
          <w:color w:val="000000" w:themeColor="text1"/>
        </w:rPr>
        <w:br w:type="page"/>
      </w:r>
    </w:p>
    <w:p w14:paraId="5B1B6258" w14:textId="77777777" w:rsidR="00377D65" w:rsidRPr="00377D65" w:rsidRDefault="00377D65" w:rsidP="00377D65">
      <w:pPr>
        <w:rPr>
          <w:rFonts w:eastAsiaTheme="minorEastAsia"/>
          <w:color w:val="000000" w:themeColor="text1"/>
        </w:rPr>
      </w:pPr>
      <w:r w:rsidRPr="00377D65">
        <w:rPr>
          <w:rFonts w:eastAsiaTheme="minorEastAsia"/>
          <w:color w:val="000000" w:themeColor="text1"/>
        </w:rPr>
        <w:lastRenderedPageBreak/>
        <w:t>Rabobank is working to launch its “Carbon Bank” which will include working with SustainCERT on developing these technology solutions for their supply chain investments. Below in Fig. 20 is the vision of the Rabobank Carbon Bank:</w:t>
      </w:r>
    </w:p>
    <w:p w14:paraId="4498B33E" w14:textId="77777777" w:rsidR="00377D65" w:rsidRPr="00377D65" w:rsidRDefault="00377D65" w:rsidP="00377D65">
      <w:pPr>
        <w:rPr>
          <w:b/>
          <w:bCs/>
        </w:rPr>
      </w:pPr>
      <w:r w:rsidRPr="00377D65">
        <w:rPr>
          <w:b/>
          <w:bCs/>
        </w:rPr>
        <w:t>Figure 20. Rabobank’s initiative to support producers with the development of a carbon bank. Source: Rabo Carbon Bank (2021)</w:t>
      </w:r>
    </w:p>
    <w:p w14:paraId="3121333B" w14:textId="77777777" w:rsidR="00377D65" w:rsidRPr="00377D65" w:rsidRDefault="00377D65" w:rsidP="00377D65">
      <w:pPr>
        <w:spacing w:after="0" w:line="240" w:lineRule="auto"/>
      </w:pPr>
      <w:r w:rsidRPr="00377D65">
        <w:rPr>
          <w:noProof/>
          <w:color w:val="2B579A"/>
          <w:shd w:val="clear" w:color="auto" w:fill="E6E6E6"/>
          <w:lang w:eastAsia="en-AU"/>
        </w:rPr>
        <w:drawing>
          <wp:inline distT="0" distB="0" distL="0" distR="0" wp14:anchorId="62E34EEA" wp14:editId="45575D52">
            <wp:extent cx="5731510" cy="3251835"/>
            <wp:effectExtent l="19050" t="19050" r="21590"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3251835"/>
                    </a:xfrm>
                    <a:prstGeom prst="rect">
                      <a:avLst/>
                    </a:prstGeom>
                    <a:noFill/>
                    <a:ln>
                      <a:solidFill>
                        <a:sysClr val="windowText" lastClr="000000"/>
                      </a:solidFill>
                    </a:ln>
                  </pic:spPr>
                </pic:pic>
              </a:graphicData>
            </a:graphic>
          </wp:inline>
        </w:drawing>
      </w:r>
    </w:p>
    <w:p w14:paraId="61B732E0" w14:textId="77777777" w:rsidR="00377D65" w:rsidRPr="00377D65" w:rsidRDefault="00377D65" w:rsidP="00377D65">
      <w:pPr>
        <w:jc w:val="both"/>
        <w:rPr>
          <w:rFonts w:eastAsiaTheme="minorEastAsia"/>
          <w:color w:val="000000" w:themeColor="text1"/>
        </w:rPr>
      </w:pPr>
    </w:p>
    <w:p w14:paraId="4C27B06A" w14:textId="77777777" w:rsidR="00377D65" w:rsidRPr="00377D65" w:rsidRDefault="00377D65" w:rsidP="00377D65">
      <w:pPr>
        <w:rPr>
          <w:rFonts w:eastAsiaTheme="minorEastAsia"/>
          <w:color w:val="000000" w:themeColor="text1"/>
        </w:rPr>
      </w:pPr>
      <w:r w:rsidRPr="00377D65">
        <w:rPr>
          <w:rFonts w:eastAsiaTheme="minorEastAsia"/>
          <w:color w:val="000000" w:themeColor="text1"/>
        </w:rPr>
        <w:t>In addition to specific ‘use’ cases for D-MRV and IFTM, SustainCERT has been leading a consortium of food and beverage and agriculture companies since 2017 to create guidance for Scope 3 (value chain) GHG accounting, claims, and other climate action challenges through their Value Change Initiative (VCI). The VCI is led in conjunction with the Science-Based Targets initiative (SBTi) partners (World Wildlife Fund, World Resources Institute, and CDP) and Gold Standard to ensure alignment between the accounting guidance and the ambitious targets set by companies under the SBTi. The VCI includes companies such as McDonald’s, Rabobank, Land O’Lakes, Cargill, Mars, Nestle, Bayer, Syngenta, and others. The full membership is featured below. The VCI program was created with Mars and Danone who have launched GHG reduction interventions in their supply chain. All membership companies are interested in understanding how they can account for interventions, count the GHG impact toward their science-based target, carbon neutral or net-zero commitment, and share those benefits and the investment costs with their supply chain partners. This group of 60 organisations contributed to the concept development of the IFTM and is largely based on their climate reporting needs.</w:t>
      </w:r>
    </w:p>
    <w:p w14:paraId="29A7A1B5" w14:textId="77777777" w:rsidR="00377D65" w:rsidRPr="00377D65" w:rsidRDefault="00377D65" w:rsidP="00377D65">
      <w:pPr>
        <w:rPr>
          <w:rFonts w:eastAsiaTheme="minorEastAsia"/>
          <w:color w:val="000000" w:themeColor="text1"/>
        </w:rPr>
      </w:pPr>
      <w:r w:rsidRPr="00377D65">
        <w:rPr>
          <w:rFonts w:eastAsiaTheme="minorEastAsia"/>
          <w:color w:val="000000" w:themeColor="text1"/>
        </w:rPr>
        <w:br w:type="page"/>
      </w:r>
    </w:p>
    <w:p w14:paraId="1EF3765F" w14:textId="77777777" w:rsidR="00377D65" w:rsidRPr="00377D65" w:rsidRDefault="00377D65" w:rsidP="00377D65">
      <w:pPr>
        <w:rPr>
          <w:b/>
          <w:bCs/>
        </w:rPr>
      </w:pPr>
      <w:r w:rsidRPr="00377D65">
        <w:rPr>
          <w:b/>
          <w:bCs/>
        </w:rPr>
        <w:lastRenderedPageBreak/>
        <w:t>Figure 21. Members of the Value Change Initiative.</w:t>
      </w:r>
    </w:p>
    <w:p w14:paraId="7D10D746" w14:textId="77777777" w:rsidR="00377D65" w:rsidRPr="00377D65" w:rsidRDefault="00377D65" w:rsidP="00377D65">
      <w:r w:rsidRPr="00377D65">
        <w:rPr>
          <w:noProof/>
          <w:color w:val="2B579A"/>
          <w:shd w:val="clear" w:color="auto" w:fill="E6E6E6"/>
          <w:lang w:eastAsia="en-AU"/>
        </w:rPr>
        <w:drawing>
          <wp:inline distT="0" distB="0" distL="0" distR="0" wp14:anchorId="43A3E55C" wp14:editId="01A2DAB5">
            <wp:extent cx="5731510" cy="2077085"/>
            <wp:effectExtent l="19050" t="19050" r="2159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2077085"/>
                    </a:xfrm>
                    <a:prstGeom prst="rect">
                      <a:avLst/>
                    </a:prstGeom>
                    <a:noFill/>
                    <a:ln>
                      <a:solidFill>
                        <a:sysClr val="windowText" lastClr="000000"/>
                      </a:solidFill>
                    </a:ln>
                  </pic:spPr>
                </pic:pic>
              </a:graphicData>
            </a:graphic>
          </wp:inline>
        </w:drawing>
      </w:r>
    </w:p>
    <w:p w14:paraId="0A1FA48D" w14:textId="77777777" w:rsidR="00377D65" w:rsidRPr="00377D65" w:rsidRDefault="00377D65" w:rsidP="00377D65">
      <w:pPr>
        <w:rPr>
          <w:rFonts w:eastAsiaTheme="minorEastAsia"/>
          <w:color w:val="000000" w:themeColor="text1"/>
        </w:rPr>
      </w:pPr>
      <w:r w:rsidRPr="00377D65">
        <w:rPr>
          <w:rFonts w:eastAsiaTheme="minorEastAsia"/>
          <w:color w:val="000000" w:themeColor="text1"/>
        </w:rPr>
        <w:t>As guidance and accounting discussions continue, more than 17 companies in the food and beverage and agriculture sectors, shown above in Fig. 21 are involved in piloting the accounting guidance in concrete interventions with intentions to verify the intervention data and track, transfer and allocate benefit on the IFTM. The pilots involve reduction and removal activities, such as agroforestry, cover crop, no till, nitrogen efficiency, alternative wetting and drying, grazing and herd management in various agricultural commodities, including beef, dairy, corn, soy, wheat, cacao, canola, rice, cotton and coffee.</w:t>
      </w:r>
    </w:p>
    <w:p w14:paraId="7AF85C1B" w14:textId="77777777" w:rsidR="00377D65" w:rsidRPr="00377D65" w:rsidRDefault="00377D65" w:rsidP="00377D65">
      <w:pPr>
        <w:rPr>
          <w:rFonts w:eastAsiaTheme="minorEastAsia"/>
          <w:color w:val="000000" w:themeColor="text1"/>
        </w:rPr>
      </w:pPr>
      <w:r w:rsidRPr="00377D65">
        <w:rPr>
          <w:rFonts w:eastAsiaTheme="minorEastAsia"/>
          <w:color w:val="000000" w:themeColor="text1"/>
        </w:rPr>
        <w:t>Most of these pilot interventions are financed by company contributions for both implementation of change, management of data and GHG quantification and verification costs, with the expectation of returns in the form of impact units to be applied to corporate GHG footprints. Interest in pilots that convert into programs is increasing, and additional actors in these supply chains are co-investing and cost-sharing in verified interventions that impact emissions in the supply chains of their commodity. Costs to farmers is generally shared or reduced as much as possible in these financing structures. These programs primarily invest in farmers to create change that companies can report and are managed by an aggregator who can coordinate and onboard farmers and investors into the program, while using SustainCERT to verify, report and allocate benefit across the supply chain.</w:t>
      </w:r>
    </w:p>
    <w:p w14:paraId="24F2826E" w14:textId="77777777" w:rsidR="00377D65" w:rsidRPr="00377D65" w:rsidRDefault="00377D65" w:rsidP="00377D65">
      <w:pPr>
        <w:rPr>
          <w:rFonts w:eastAsiaTheme="minorEastAsia"/>
          <w:color w:val="000000" w:themeColor="text1"/>
        </w:rPr>
      </w:pPr>
      <w:r w:rsidRPr="00377D65">
        <w:rPr>
          <w:rFonts w:eastAsiaTheme="minorEastAsia"/>
          <w:color w:val="000000" w:themeColor="text1"/>
        </w:rPr>
        <w:t xml:space="preserve">Together, the D-MRV and IFTM ‘use’ cases (including MLA’s), Value Chain pilot interventions and the VCI company participants have shaped Gold Standard's Value Chain Intervention Guidance as well as rules and requirements for SustainCERT’s platform and verification services. These developments have culminated in the upcoming potential to test end-to-end supply chain GHG reduction and removal verification, and transfer of benefit applicable in a global context. </w:t>
      </w:r>
    </w:p>
    <w:p w14:paraId="06826AF0" w14:textId="77777777" w:rsidR="00377D65" w:rsidRPr="00377D65" w:rsidRDefault="00377D65" w:rsidP="00377D65">
      <w:pPr>
        <w:rPr>
          <w:rFonts w:eastAsiaTheme="minorEastAsia"/>
          <w:color w:val="000000" w:themeColor="text1"/>
        </w:rPr>
      </w:pPr>
      <w:r w:rsidRPr="00377D65">
        <w:rPr>
          <w:rFonts w:eastAsiaTheme="minorEastAsia"/>
          <w:color w:val="000000" w:themeColor="text1"/>
        </w:rPr>
        <w:t>Following the structure of the other ongoing pilot programs, SustainCERT envisions that a corporate buyer downstream in the supply chain of MLA's producer constituents would be the financial contributor to the intervention, driven by their desire for improved emission factors for use in their Scope 3 reporting. Proposed next steps are discussed further in the Stakeholder Partnership Program section.</w:t>
      </w:r>
    </w:p>
    <w:p w14:paraId="544D3CC6" w14:textId="77777777" w:rsidR="00377D65" w:rsidRPr="00377D65" w:rsidRDefault="00377D65" w:rsidP="00377D65">
      <w:pPr>
        <w:rPr>
          <w:rFonts w:eastAsiaTheme="minorEastAsia"/>
          <w:color w:val="000000" w:themeColor="text1"/>
        </w:rPr>
      </w:pPr>
      <w:r w:rsidRPr="00377D65">
        <w:rPr>
          <w:rFonts w:eastAsiaTheme="minorEastAsia"/>
          <w:color w:val="000000" w:themeColor="text1"/>
        </w:rPr>
        <w:br w:type="page"/>
      </w:r>
    </w:p>
    <w:p w14:paraId="32214BA0" w14:textId="77777777" w:rsidR="00377D65" w:rsidRPr="00377D65" w:rsidRDefault="00377D65" w:rsidP="00E11386">
      <w:pPr>
        <w:pStyle w:val="Heading2"/>
      </w:pPr>
      <w:r w:rsidRPr="00377D65">
        <w:lastRenderedPageBreak/>
        <w:t xml:space="preserve"> </w:t>
      </w:r>
      <w:bookmarkStart w:id="68" w:name="_Toc86672236"/>
      <w:bookmarkStart w:id="69" w:name="_Toc88494291"/>
      <w:r w:rsidRPr="00377D65">
        <w:t>Indicative fee structure</w:t>
      </w:r>
      <w:bookmarkEnd w:id="68"/>
      <w:bookmarkEnd w:id="69"/>
    </w:p>
    <w:p w14:paraId="425F0ED8" w14:textId="77777777" w:rsidR="00377D65" w:rsidRPr="00377D65" w:rsidRDefault="00377D65" w:rsidP="00377D65">
      <w:pPr>
        <w:rPr>
          <w:b/>
          <w:bCs/>
        </w:rPr>
      </w:pPr>
      <w:r w:rsidRPr="00377D65">
        <w:t xml:space="preserve">SustainCERT plans to operate a subscription-fee business model where users of the platform pay a subscription fee based on their profile and usage of the platform. Fees do not cover costs associated with the funding of the carbon reduction intervention, they go towards the costs associated with data monitoring, data processing, calculation of greenhouse gas impacts, verification and issuance / transfer of units to downstream players. SustainCERT’s objective is to ensure wide adoption of the platform through affordable pricing for producers and higher price points for corporates ultimately purchasing and retiring the units. </w:t>
      </w:r>
      <w:r w:rsidRPr="00377D65">
        <w:rPr>
          <w:rFonts w:eastAsiaTheme="minorEastAsia"/>
          <w:color w:val="000000" w:themeColor="text1"/>
        </w:rPr>
        <w:t xml:space="preserve">As previously noted, existing pilots have received funding from downstream corporate partners. </w:t>
      </w:r>
    </w:p>
    <w:p w14:paraId="53C94684" w14:textId="77777777" w:rsidR="00377D65" w:rsidRPr="00377D65" w:rsidRDefault="00377D65" w:rsidP="00377D65">
      <w:pPr>
        <w:rPr>
          <w:rFonts w:eastAsiaTheme="minorEastAsia"/>
          <w:color w:val="000000" w:themeColor="text1"/>
        </w:rPr>
      </w:pPr>
      <w:r w:rsidRPr="00377D65">
        <w:rPr>
          <w:b/>
          <w:bCs/>
        </w:rPr>
        <w:t>Table 3. Provides an indication of annual fees for digital monitoring, verification and reporting of interventions.</w:t>
      </w:r>
    </w:p>
    <w:p w14:paraId="6BA30BD2" w14:textId="77777777" w:rsidR="00377D65" w:rsidRPr="00377D65" w:rsidRDefault="00377D65" w:rsidP="009B500A">
      <w:pPr>
        <w:jc w:val="center"/>
        <w:rPr>
          <w:b/>
          <w:bCs/>
        </w:rPr>
      </w:pPr>
      <w:r w:rsidRPr="00377D65">
        <w:rPr>
          <w:noProof/>
          <w:color w:val="2B579A"/>
          <w:shd w:val="clear" w:color="auto" w:fill="E6E6E6"/>
          <w:lang w:eastAsia="en-AU"/>
        </w:rPr>
        <w:drawing>
          <wp:inline distT="0" distB="0" distL="0" distR="0" wp14:anchorId="5FAD14E3" wp14:editId="0E073F15">
            <wp:extent cx="2433955" cy="2549525"/>
            <wp:effectExtent l="0" t="0" r="444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33955" cy="2549525"/>
                    </a:xfrm>
                    <a:prstGeom prst="rect">
                      <a:avLst/>
                    </a:prstGeom>
                    <a:noFill/>
                    <a:ln>
                      <a:noFill/>
                    </a:ln>
                  </pic:spPr>
                </pic:pic>
              </a:graphicData>
            </a:graphic>
          </wp:inline>
        </w:drawing>
      </w:r>
    </w:p>
    <w:p w14:paraId="69095745" w14:textId="77777777" w:rsidR="00377D65" w:rsidRPr="00377D65" w:rsidRDefault="00377D65" w:rsidP="00377D65">
      <w:r w:rsidRPr="00377D65">
        <w:t xml:space="preserve">SustainCERT’s proposal to have very low certification and participation fees for producers is based on the ability to scale and increase participation rapidly. The intention is to put in place a low fee structure based on the number of head. Affordability at the producer level will require rapid scaling with the goal to reach 1800 and 2500 producers in 2024 and 2025 respectively. The indicative fee structure has been developed to ensure that costs do not prevent new participants nor disincentivise existing producers who are managing carbon projects. </w:t>
      </w:r>
    </w:p>
    <w:p w14:paraId="2665E622" w14:textId="77777777" w:rsidR="00377D65" w:rsidRPr="00377D65" w:rsidRDefault="00377D65" w:rsidP="00377D65"/>
    <w:p w14:paraId="2E3A67B1" w14:textId="77777777" w:rsidR="00377D65" w:rsidRPr="00377D65" w:rsidRDefault="00377D65" w:rsidP="00377D65">
      <w:r w:rsidRPr="00377D65">
        <w:br w:type="page"/>
      </w:r>
    </w:p>
    <w:p w14:paraId="11A8B3C4" w14:textId="77777777" w:rsidR="00377D65" w:rsidRPr="00377D65" w:rsidRDefault="00377D65" w:rsidP="00E11386">
      <w:pPr>
        <w:pStyle w:val="Heading2"/>
      </w:pPr>
      <w:r w:rsidRPr="00377D65">
        <w:lastRenderedPageBreak/>
        <w:t xml:space="preserve"> </w:t>
      </w:r>
      <w:bookmarkStart w:id="70" w:name="_Toc86672237"/>
      <w:bookmarkStart w:id="71" w:name="_Toc88494292"/>
      <w:r w:rsidRPr="00377D65">
        <w:t>Stakeholder partnership program</w:t>
      </w:r>
      <w:bookmarkEnd w:id="70"/>
      <w:bookmarkEnd w:id="71"/>
    </w:p>
    <w:p w14:paraId="10051E1A" w14:textId="77777777" w:rsidR="00377D65" w:rsidRPr="00377D65" w:rsidRDefault="00377D65" w:rsidP="00377D65">
      <w:r w:rsidRPr="00377D65">
        <w:t>For producers of red meat in Australia, the government has created incentives to use ‘land stewardship’ opportunities to generate carbon credits via various carbon farming methods. While this has been successful for some, it is not an option for many individual producers due to several reasons including the low viability for smaller land holders, producers with smaller herds and those that do not have the right environmental settings (access to water/rainfall in particular) for the lowest cost projects (vegetation). Aggregation of smaller producers does occur and where a project is feasible, carbon project developers offer a ‘shared revenue model’ rather than a fee for service, which can be cost prohibitive for many small- and medium-sized producers.</w:t>
      </w:r>
    </w:p>
    <w:p w14:paraId="2F609241" w14:textId="77777777" w:rsidR="00377D65" w:rsidRPr="00377D65" w:rsidRDefault="00377D65" w:rsidP="00377D65">
      <w:r w:rsidRPr="00377D65">
        <w:t>2000 global companies have committed to Science-Based Targets, which requires companies with significant Scope 3 (value chain) emissions to set a target to reduce those emissions. This is driving significant global demand for credible methods and tools to measure and reduce their Scope 3 emissions. SustainCERT's end-to-end solution for supply chain management of emissions is being designed as a global approach for multiple sectors, with partners and stakeholders coming together to resolve practical issues and barriers. The deployment of pilot projects with an entity willing and able to mobilise investment, engage farmers and work on quantification of GHG emissions has proven to show promise to refine the product concepts, scale programs across the supply chain, and keep costs to farmers and producers low.</w:t>
      </w:r>
    </w:p>
    <w:p w14:paraId="26D7940B" w14:textId="77777777" w:rsidR="00377D65" w:rsidRPr="00377D65" w:rsidRDefault="00377D65" w:rsidP="00377D65">
      <w:r w:rsidRPr="00377D65">
        <w:t xml:space="preserve">As an example of the collaborative approach taken thus far, Barry Callebaut, a major cacao processor, certified a Scope 3 agroforestry intervention with cacao farmers in 2019 that included smallholder farmers in several countries. Since that time, the program has expanded to include similar interventions in those countries and several downstream companies (major food companies) to cost share in the investment and potentially benefit from the allocation of GHG changes to their own Scope 3 emissions. </w:t>
      </w:r>
    </w:p>
    <w:p w14:paraId="375727F6" w14:textId="31D653E9" w:rsidR="00377D65" w:rsidRPr="00E11386" w:rsidRDefault="00377D65" w:rsidP="007C332D">
      <w:pPr>
        <w:pStyle w:val="Heading3"/>
      </w:pPr>
      <w:bookmarkStart w:id="72" w:name="_Toc86672238"/>
      <w:bookmarkStart w:id="73" w:name="_Toc88494293"/>
      <w:r w:rsidRPr="00E11386">
        <w:t>Building toward a sector-wide, end-to-end Emissions Reporting system for beef in Australia in line with global standards</w:t>
      </w:r>
      <w:bookmarkEnd w:id="72"/>
      <w:bookmarkEnd w:id="73"/>
    </w:p>
    <w:p w14:paraId="25A4EA86" w14:textId="77777777" w:rsidR="00377D65" w:rsidRPr="00377D65" w:rsidRDefault="00377D65" w:rsidP="00377D65">
      <w:r w:rsidRPr="00377D65">
        <w:t xml:space="preserve">By launching a sector pilot, SustainCERT and partners can provide a ‘proof of concept’ that attracts additional investment, which can be built upon and expanded. The pilot can be replicated, and the benefits to early participants flow from both attracting additional companies in other layers of the supply chain who also invest in emission reduction interventions and increasing supply to more buyers. Having more than one intervention in the supply chain can increase supply of more volume of goods with an improved emission factor or allow buyers to purchase several interventions and thereby make claims on an even lower emission factor. </w:t>
      </w:r>
    </w:p>
    <w:p w14:paraId="42C5EE92" w14:textId="77777777" w:rsidR="00377D65" w:rsidRPr="00377D65" w:rsidRDefault="00377D65" w:rsidP="00377D65">
      <w:r w:rsidRPr="00377D65">
        <w:t>SustainCERT aims to identify one or more partners from the high level of interest already received who are willing to implement, manage and finance a pilot intervention verification to inform build-out of the D-MRV module for specific red meat sector interventions in Australia. This would include Application Program Interfaces (API) for carbon credits and the IFTM. Through the literature review conducted by SustainCERT as part of this milestone, the IFTM has a ‘use’ case of the red meat supply chain mapped with product allocations as a strong foundation for this work. Below, in Fig. 22, is the vision for how this work can scale to provide a sector-wide, end-to-end solution that incentivises investment in upstream climate action from downstream corporate actors.</w:t>
      </w:r>
    </w:p>
    <w:p w14:paraId="3E5E335A" w14:textId="77777777" w:rsidR="00377D65" w:rsidRPr="00377D65" w:rsidRDefault="00377D65" w:rsidP="00377D65">
      <w:r w:rsidRPr="00377D65">
        <w:br w:type="page"/>
      </w:r>
    </w:p>
    <w:p w14:paraId="3EE4D525" w14:textId="77777777" w:rsidR="00377D65" w:rsidRPr="00377D65" w:rsidRDefault="00377D65" w:rsidP="00377D65">
      <w:pPr>
        <w:rPr>
          <w:b/>
          <w:bCs/>
        </w:rPr>
      </w:pPr>
      <w:r w:rsidRPr="00377D65">
        <w:rPr>
          <w:b/>
          <w:bCs/>
        </w:rPr>
        <w:lastRenderedPageBreak/>
        <w:t>Figure 22. Steps of piloting the Impact Factor Tracking Mechanism in Australia for red meat supply chain.</w:t>
      </w:r>
    </w:p>
    <w:p w14:paraId="6BD1B0EC" w14:textId="77777777" w:rsidR="00377D65" w:rsidRPr="00377D65" w:rsidRDefault="00377D65" w:rsidP="00377D65">
      <w:r w:rsidRPr="00377D65">
        <w:rPr>
          <w:noProof/>
          <w:color w:val="2B579A"/>
          <w:shd w:val="clear" w:color="auto" w:fill="E6E6E6"/>
          <w:lang w:eastAsia="en-AU"/>
        </w:rPr>
        <w:drawing>
          <wp:inline distT="0" distB="0" distL="0" distR="0" wp14:anchorId="470BB5D0" wp14:editId="274AB458">
            <wp:extent cx="5731510" cy="311086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110865"/>
                    </a:xfrm>
                    <a:prstGeom prst="rect">
                      <a:avLst/>
                    </a:prstGeom>
                    <a:noFill/>
                    <a:ln>
                      <a:noFill/>
                    </a:ln>
                  </pic:spPr>
                </pic:pic>
              </a:graphicData>
            </a:graphic>
          </wp:inline>
        </w:drawing>
      </w:r>
    </w:p>
    <w:p w14:paraId="667D4EAF" w14:textId="77777777" w:rsidR="00377D65" w:rsidRPr="00377D65" w:rsidRDefault="00377D65" w:rsidP="00377D65">
      <w:r w:rsidRPr="00377D65">
        <w:t xml:space="preserve">The cohort of participants who would join a working group run pilot project includes feedlot owners, producers, processors, and corporate procurement companies. </w:t>
      </w:r>
    </w:p>
    <w:p w14:paraId="704080A3" w14:textId="77777777" w:rsidR="00377D65" w:rsidRPr="00377D65" w:rsidRDefault="00377D65" w:rsidP="00377D65">
      <w:r w:rsidRPr="00377D65">
        <w:t xml:space="preserve">SustainCERT, as the verification body, will not own or verify the program. With the assistance of MLA and other industry stakeholders including those that have clearly indicated their interest to join a pilot will be invited to join. Stakeholders with the greatest ability to: </w:t>
      </w:r>
    </w:p>
    <w:p w14:paraId="7593F116" w14:textId="77777777" w:rsidR="00377D65" w:rsidRPr="00377D65" w:rsidRDefault="00377D65" w:rsidP="00377D65">
      <w:pPr>
        <w:numPr>
          <w:ilvl w:val="0"/>
          <w:numId w:val="37"/>
        </w:numPr>
        <w:spacing w:after="200" w:line="276" w:lineRule="auto"/>
        <w:contextualSpacing/>
      </w:pPr>
      <w:r w:rsidRPr="00377D65">
        <w:t>Assist in the mobilisation of investment for the pilot, and/or</w:t>
      </w:r>
    </w:p>
    <w:p w14:paraId="4794CD35" w14:textId="77777777" w:rsidR="00377D65" w:rsidRPr="00377D65" w:rsidRDefault="00377D65" w:rsidP="00377D65">
      <w:pPr>
        <w:numPr>
          <w:ilvl w:val="0"/>
          <w:numId w:val="37"/>
        </w:numPr>
        <w:spacing w:after="200" w:line="276" w:lineRule="auto"/>
        <w:contextualSpacing/>
      </w:pPr>
      <w:r w:rsidRPr="00377D65">
        <w:t xml:space="preserve">Coordinate and engage producers locally to work with SustainCERT on the quantification and reporting of GHG emissions. </w:t>
      </w:r>
    </w:p>
    <w:p w14:paraId="3291399B" w14:textId="77777777" w:rsidR="00377D65" w:rsidRPr="00377D65" w:rsidRDefault="00377D65" w:rsidP="00377D65">
      <w:r w:rsidRPr="00377D65">
        <w:t>Will be prioritised as pilot partners.</w:t>
      </w:r>
    </w:p>
    <w:p w14:paraId="085BB080" w14:textId="77777777" w:rsidR="00377D65" w:rsidRPr="00377D65" w:rsidRDefault="00377D65" w:rsidP="00377D65">
      <w:r w:rsidRPr="00377D65">
        <w:t xml:space="preserve">SustainCERT partners who have successfully managed pilot interventions include: large agricultural commodity traders and processors (Barry Callebaut), agri-input companies (Bayer), and other farmer-led non-profit organisations (Ecosystem Service Market Consortium). </w:t>
      </w:r>
    </w:p>
    <w:p w14:paraId="408ED306" w14:textId="77777777" w:rsidR="00377D65" w:rsidRPr="00377D65" w:rsidRDefault="00377D65" w:rsidP="00377D65">
      <w:pPr>
        <w:rPr>
          <w:b/>
          <w:bCs/>
        </w:rPr>
      </w:pPr>
      <w:r w:rsidRPr="00377D65">
        <w:rPr>
          <w:b/>
          <w:bCs/>
        </w:rPr>
        <w:t xml:space="preserve">Pilot objectives: </w:t>
      </w:r>
    </w:p>
    <w:p w14:paraId="424273AF" w14:textId="77777777" w:rsidR="00377D65" w:rsidRPr="00377D65" w:rsidRDefault="00377D65" w:rsidP="00377D65">
      <w:pPr>
        <w:numPr>
          <w:ilvl w:val="0"/>
          <w:numId w:val="31"/>
        </w:numPr>
        <w:spacing w:after="200" w:line="276" w:lineRule="auto"/>
        <w:contextualSpacing/>
      </w:pPr>
      <w:r w:rsidRPr="00377D65">
        <w:t>Establishing an entity for managing producer on-boarding and engagement and connecting them to investors</w:t>
      </w:r>
    </w:p>
    <w:p w14:paraId="0A5CC6A3" w14:textId="77777777" w:rsidR="00377D65" w:rsidRPr="00377D65" w:rsidRDefault="00377D65" w:rsidP="00377D65">
      <w:pPr>
        <w:numPr>
          <w:ilvl w:val="0"/>
          <w:numId w:val="31"/>
        </w:numPr>
        <w:spacing w:after="200" w:line="276" w:lineRule="auto"/>
        <w:contextualSpacing/>
      </w:pPr>
      <w:r w:rsidRPr="00377D65">
        <w:t>Creating a model where producers benefit for their climate action</w:t>
      </w:r>
    </w:p>
    <w:p w14:paraId="243D0853" w14:textId="77777777" w:rsidR="00377D65" w:rsidRPr="00377D65" w:rsidRDefault="00377D65" w:rsidP="00377D65">
      <w:pPr>
        <w:numPr>
          <w:ilvl w:val="0"/>
          <w:numId w:val="31"/>
        </w:numPr>
        <w:spacing w:after="200" w:line="276" w:lineRule="auto"/>
        <w:contextualSpacing/>
      </w:pPr>
      <w:r w:rsidRPr="00377D65">
        <w:t>Test the design and performance of a GHG reduction and removal intervention against the Value Chain Interventions Guidance</w:t>
      </w:r>
    </w:p>
    <w:p w14:paraId="547518F7" w14:textId="77777777" w:rsidR="00377D65" w:rsidRPr="00377D65" w:rsidRDefault="00377D65" w:rsidP="00377D65">
      <w:pPr>
        <w:numPr>
          <w:ilvl w:val="0"/>
          <w:numId w:val="31"/>
        </w:numPr>
        <w:spacing w:after="200" w:line="276" w:lineRule="auto"/>
        <w:contextualSpacing/>
      </w:pPr>
      <w:r w:rsidRPr="00377D65">
        <w:t>Create ‘use’ cases to build digital monitoring, reporting and verification solutions for value chain impact units for Scope 3 emissions reporting</w:t>
      </w:r>
    </w:p>
    <w:p w14:paraId="2B4B9A24" w14:textId="77777777" w:rsidR="00377D65" w:rsidRPr="00377D65" w:rsidRDefault="00377D65" w:rsidP="00377D65">
      <w:pPr>
        <w:numPr>
          <w:ilvl w:val="0"/>
          <w:numId w:val="31"/>
        </w:numPr>
        <w:spacing w:after="200" w:line="276" w:lineRule="auto"/>
        <w:contextualSpacing/>
      </w:pPr>
      <w:r w:rsidRPr="00377D65">
        <w:t>Generate verified greenhouse gas and commodity data for a ‘use’ case for the Impact Factor Tracking Mechanism.</w:t>
      </w:r>
    </w:p>
    <w:p w14:paraId="0E652BD3" w14:textId="77777777" w:rsidR="00377D65" w:rsidRPr="00377D65" w:rsidRDefault="00377D65" w:rsidP="00377D65">
      <w:r w:rsidRPr="00377D65">
        <w:br w:type="page"/>
      </w:r>
    </w:p>
    <w:p w14:paraId="5A4F01D6" w14:textId="77777777" w:rsidR="00377D65" w:rsidRPr="00377D65" w:rsidRDefault="00377D65" w:rsidP="00377D65">
      <w:pPr>
        <w:rPr>
          <w:b/>
          <w:bCs/>
        </w:rPr>
      </w:pPr>
      <w:r w:rsidRPr="00377D65">
        <w:rPr>
          <w:b/>
          <w:bCs/>
        </w:rPr>
        <w:lastRenderedPageBreak/>
        <w:t>Key value adds of the pilot process:</w:t>
      </w:r>
    </w:p>
    <w:p w14:paraId="240653D3" w14:textId="77777777" w:rsidR="00377D65" w:rsidRPr="00377D65" w:rsidRDefault="00377D65" w:rsidP="00377D65">
      <w:pPr>
        <w:numPr>
          <w:ilvl w:val="0"/>
          <w:numId w:val="33"/>
        </w:numPr>
        <w:spacing w:after="200" w:line="276" w:lineRule="auto"/>
        <w:contextualSpacing/>
      </w:pPr>
      <w:r w:rsidRPr="00377D65">
        <w:t xml:space="preserve">Assurance and security that the Scope 3 intervention results align with GHG Protocol and SBTi target commitments </w:t>
      </w:r>
    </w:p>
    <w:p w14:paraId="21CA7A67" w14:textId="77777777" w:rsidR="00377D65" w:rsidRPr="00377D65" w:rsidRDefault="00377D65" w:rsidP="00377D65">
      <w:pPr>
        <w:numPr>
          <w:ilvl w:val="0"/>
          <w:numId w:val="33"/>
        </w:numPr>
        <w:spacing w:after="200" w:line="276" w:lineRule="auto"/>
        <w:contextualSpacing/>
      </w:pPr>
      <w:r w:rsidRPr="00377D65">
        <w:t>Confidence the intervention data is robust for transfer, and monetise intervention benefits with supply chain partners both upstream and downstream</w:t>
      </w:r>
    </w:p>
    <w:p w14:paraId="6FC69676" w14:textId="77777777" w:rsidR="00377D65" w:rsidRPr="00377D65" w:rsidRDefault="00377D65" w:rsidP="00377D65">
      <w:pPr>
        <w:numPr>
          <w:ilvl w:val="0"/>
          <w:numId w:val="33"/>
        </w:numPr>
        <w:spacing w:after="200" w:line="276" w:lineRule="auto"/>
        <w:contextualSpacing/>
      </w:pPr>
      <w:r w:rsidRPr="00377D65">
        <w:t>Flexibility in application of environmental benefits of interventions to a wider suite of purchased goods and services using the supply-shed approach in corporate reporting</w:t>
      </w:r>
    </w:p>
    <w:p w14:paraId="30870CED" w14:textId="77777777" w:rsidR="00377D65" w:rsidRPr="00377D65" w:rsidRDefault="00377D65" w:rsidP="00377D65">
      <w:pPr>
        <w:numPr>
          <w:ilvl w:val="0"/>
          <w:numId w:val="33"/>
        </w:numPr>
        <w:spacing w:after="200" w:line="276" w:lineRule="auto"/>
        <w:contextualSpacing/>
      </w:pPr>
      <w:r w:rsidRPr="00377D65">
        <w:t>Real-world ‘use’ cases to build-out digital solutions (D-MRV and IFTM) to enable scale of the market</w:t>
      </w:r>
    </w:p>
    <w:p w14:paraId="4807B4D7" w14:textId="77777777" w:rsidR="00377D65" w:rsidRPr="00377D65" w:rsidRDefault="00377D65" w:rsidP="00377D65">
      <w:pPr>
        <w:numPr>
          <w:ilvl w:val="0"/>
          <w:numId w:val="33"/>
        </w:numPr>
        <w:spacing w:after="200" w:line="276" w:lineRule="auto"/>
        <w:contextualSpacing/>
      </w:pPr>
      <w:r w:rsidRPr="00377D65">
        <w:t>Proof of concept, credibility and digital solutions to replicate and incentivise the scaling of interventions and supply chain investment in climate action</w:t>
      </w:r>
    </w:p>
    <w:p w14:paraId="6AB186A7" w14:textId="77777777" w:rsidR="00377D65" w:rsidRPr="00377D65" w:rsidRDefault="00377D65" w:rsidP="00377D65">
      <w:pPr>
        <w:rPr>
          <w:b/>
          <w:bCs/>
        </w:rPr>
      </w:pPr>
      <w:r w:rsidRPr="00377D65">
        <w:rPr>
          <w:b/>
          <w:bCs/>
        </w:rPr>
        <w:t>Intended outcomes</w:t>
      </w:r>
    </w:p>
    <w:p w14:paraId="378799BF" w14:textId="77777777" w:rsidR="00377D65" w:rsidRPr="00377D65" w:rsidRDefault="00377D65" w:rsidP="00377D65">
      <w:r w:rsidRPr="00377D65">
        <w:t>SustainCERT will seek to recruit pilots to undergo a Validation and Verification process to provide essential inputs for the intended outcomes:</w:t>
      </w:r>
    </w:p>
    <w:p w14:paraId="68220F7F" w14:textId="77777777" w:rsidR="00377D65" w:rsidRPr="00377D65" w:rsidRDefault="00377D65" w:rsidP="00377D65">
      <w:pPr>
        <w:numPr>
          <w:ilvl w:val="0"/>
          <w:numId w:val="32"/>
        </w:numPr>
        <w:spacing w:after="200" w:line="276" w:lineRule="auto"/>
        <w:contextualSpacing/>
      </w:pPr>
      <w:r w:rsidRPr="00377D65">
        <w:t>User profiles, needs and feedback</w:t>
      </w:r>
    </w:p>
    <w:p w14:paraId="7DB9768A" w14:textId="77777777" w:rsidR="00377D65" w:rsidRPr="00377D65" w:rsidRDefault="00377D65" w:rsidP="00377D65">
      <w:pPr>
        <w:numPr>
          <w:ilvl w:val="0"/>
          <w:numId w:val="32"/>
        </w:numPr>
        <w:spacing w:after="200" w:line="276" w:lineRule="auto"/>
        <w:contextualSpacing/>
      </w:pPr>
      <w:r w:rsidRPr="00377D65">
        <w:t>Data and input and storage requirements (manual, tools or automatic)</w:t>
      </w:r>
    </w:p>
    <w:p w14:paraId="4F05928E" w14:textId="77777777" w:rsidR="00377D65" w:rsidRPr="00377D65" w:rsidRDefault="00377D65" w:rsidP="00377D65">
      <w:pPr>
        <w:numPr>
          <w:ilvl w:val="0"/>
          <w:numId w:val="32"/>
        </w:numPr>
        <w:spacing w:after="200" w:line="276" w:lineRule="auto"/>
        <w:contextualSpacing/>
      </w:pPr>
      <w:r w:rsidRPr="00377D65">
        <w:t>GHG quantification approaches for embedding in D-MRV module</w:t>
      </w:r>
    </w:p>
    <w:p w14:paraId="23D42655" w14:textId="77777777" w:rsidR="00377D65" w:rsidRPr="00377D65" w:rsidRDefault="00377D65" w:rsidP="00377D65">
      <w:r w:rsidRPr="00377D65">
        <w:t>The intended outcomes of the pilots would be:</w:t>
      </w:r>
    </w:p>
    <w:p w14:paraId="1CCF4F11" w14:textId="77777777" w:rsidR="00377D65" w:rsidRPr="00377D65" w:rsidRDefault="00377D65" w:rsidP="00377D65">
      <w:pPr>
        <w:numPr>
          <w:ilvl w:val="0"/>
          <w:numId w:val="34"/>
        </w:numPr>
        <w:spacing w:after="200" w:line="276" w:lineRule="auto"/>
        <w:contextualSpacing/>
      </w:pPr>
      <w:r w:rsidRPr="00377D65">
        <w:t>Intervention validation statement and intervention monitoring and reporting design to build a new intervention-specific Digital Monitoring, Reporting and Verification module</w:t>
      </w:r>
    </w:p>
    <w:p w14:paraId="5818FDE4" w14:textId="3EA502B9" w:rsidR="00377D65" w:rsidRPr="00377D65" w:rsidRDefault="00377D65" w:rsidP="00377D65">
      <w:pPr>
        <w:numPr>
          <w:ilvl w:val="0"/>
          <w:numId w:val="34"/>
        </w:numPr>
        <w:spacing w:after="200" w:line="276" w:lineRule="auto"/>
        <w:contextualSpacing/>
      </w:pPr>
      <w:r w:rsidRPr="00377D65">
        <w:t>Verification statement issued (Fig. 23</w:t>
      </w:r>
      <w:r w:rsidR="00494BB9">
        <w:t>.</w:t>
      </w:r>
      <w:r w:rsidRPr="00377D65">
        <w:t xml:space="preserve"> and Table 4) from the new intervention-specific Digital Monitoring Reporting and Verification module in the SustainCERT Platform</w:t>
      </w:r>
    </w:p>
    <w:p w14:paraId="51D0EEF1" w14:textId="77777777" w:rsidR="00377D65" w:rsidRPr="00377D65" w:rsidRDefault="00377D65" w:rsidP="00377D65">
      <w:pPr>
        <w:numPr>
          <w:ilvl w:val="0"/>
          <w:numId w:val="34"/>
        </w:numPr>
        <w:spacing w:after="200" w:line="276" w:lineRule="auto"/>
        <w:contextualSpacing/>
      </w:pPr>
      <w:r w:rsidRPr="00377D65">
        <w:t>Issuance of impact units on the IFTM</w:t>
      </w:r>
    </w:p>
    <w:p w14:paraId="576B6898" w14:textId="1811CDFB" w:rsidR="00377D65" w:rsidRDefault="00377D65" w:rsidP="00377D65">
      <w:pPr>
        <w:numPr>
          <w:ilvl w:val="0"/>
          <w:numId w:val="34"/>
        </w:numPr>
        <w:spacing w:after="200" w:line="276" w:lineRule="auto"/>
        <w:contextualSpacing/>
      </w:pPr>
      <w:r w:rsidRPr="00377D65">
        <w:t>Transfer, allocation and claiming of benefits by at least one supply chain actor.</w:t>
      </w:r>
    </w:p>
    <w:p w14:paraId="7E17C3F6" w14:textId="77777777" w:rsidR="00247959" w:rsidRPr="00377D65" w:rsidRDefault="00247959" w:rsidP="00247959">
      <w:pPr>
        <w:spacing w:after="200" w:line="276" w:lineRule="auto"/>
        <w:ind w:left="720"/>
        <w:contextualSpacing/>
      </w:pPr>
    </w:p>
    <w:p w14:paraId="4E986F47" w14:textId="77777777" w:rsidR="00377D65" w:rsidRPr="00377D65" w:rsidRDefault="00377D65" w:rsidP="00377D65">
      <w:r w:rsidRPr="00377D65">
        <w:rPr>
          <w:b/>
          <w:bCs/>
        </w:rPr>
        <w:t>Figure 23. Example verification statement.</w:t>
      </w:r>
    </w:p>
    <w:p w14:paraId="48F1CB63" w14:textId="77777777" w:rsidR="00377D65" w:rsidRPr="00377D65" w:rsidRDefault="00377D65" w:rsidP="009B500A">
      <w:pPr>
        <w:jc w:val="center"/>
      </w:pPr>
      <w:r w:rsidRPr="00377D65">
        <w:rPr>
          <w:noProof/>
          <w:color w:val="2B579A"/>
          <w:shd w:val="clear" w:color="auto" w:fill="E6E6E6"/>
          <w:lang w:eastAsia="en-AU"/>
        </w:rPr>
        <w:drawing>
          <wp:inline distT="0" distB="0" distL="0" distR="0" wp14:anchorId="77F56E41" wp14:editId="087BD8FC">
            <wp:extent cx="4400269" cy="3271962"/>
            <wp:effectExtent l="0" t="0" r="63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16000" cy="3283660"/>
                    </a:xfrm>
                    <a:prstGeom prst="rect">
                      <a:avLst/>
                    </a:prstGeom>
                    <a:noFill/>
                    <a:ln>
                      <a:noFill/>
                    </a:ln>
                  </pic:spPr>
                </pic:pic>
              </a:graphicData>
            </a:graphic>
          </wp:inline>
        </w:drawing>
      </w:r>
    </w:p>
    <w:p w14:paraId="7F147193" w14:textId="3817DF36" w:rsidR="00377D65" w:rsidRPr="00377D65" w:rsidRDefault="00377D65" w:rsidP="00377D65">
      <w:pPr>
        <w:rPr>
          <w:b/>
          <w:bCs/>
        </w:rPr>
      </w:pPr>
      <w:r w:rsidRPr="00377D65">
        <w:rPr>
          <w:b/>
          <w:bCs/>
        </w:rPr>
        <w:lastRenderedPageBreak/>
        <w:t>Table 4. Overview of emissions reduced or sequestered.</w:t>
      </w:r>
    </w:p>
    <w:p w14:paraId="4E5601B9" w14:textId="77777777" w:rsidR="00377D65" w:rsidRPr="00377D65" w:rsidRDefault="00377D65" w:rsidP="009B500A">
      <w:pPr>
        <w:jc w:val="center"/>
      </w:pPr>
      <w:r w:rsidRPr="00377D65">
        <w:rPr>
          <w:noProof/>
          <w:color w:val="2B579A"/>
          <w:shd w:val="clear" w:color="auto" w:fill="E6E6E6"/>
          <w:lang w:eastAsia="en-AU"/>
        </w:rPr>
        <w:drawing>
          <wp:inline distT="0" distB="0" distL="0" distR="0" wp14:anchorId="45B112BF" wp14:editId="24863194">
            <wp:extent cx="5491185" cy="2147680"/>
            <wp:effectExtent l="19050" t="19050" r="14605" b="241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4365" cy="2152835"/>
                    </a:xfrm>
                    <a:prstGeom prst="rect">
                      <a:avLst/>
                    </a:prstGeom>
                    <a:noFill/>
                    <a:ln>
                      <a:solidFill>
                        <a:sysClr val="windowText" lastClr="000000"/>
                      </a:solidFill>
                    </a:ln>
                  </pic:spPr>
                </pic:pic>
              </a:graphicData>
            </a:graphic>
          </wp:inline>
        </w:drawing>
      </w:r>
    </w:p>
    <w:p w14:paraId="548CF0A5" w14:textId="77777777" w:rsidR="00377D65" w:rsidRPr="00377D65" w:rsidRDefault="00377D65" w:rsidP="00377D65">
      <w:r w:rsidRPr="00377D65">
        <w:t>SustainCERT will approach pilot participants with a cost-sharing proposal where implementation partners and companies</w:t>
      </w:r>
      <w:r w:rsidRPr="00377D65">
        <w:rPr>
          <w:b/>
          <w:bCs/>
        </w:rPr>
        <w:t xml:space="preserve"> </w:t>
      </w:r>
      <w:r w:rsidRPr="00377D65">
        <w:t>fund intervention design, implementation, and verification costs, while SustainCERT invests in building the digital solutions (IFTM, D-MRV modules, API) in parallel to the verification process to enable scale for implementation partners.</w:t>
      </w:r>
    </w:p>
    <w:p w14:paraId="3DF8CCFF" w14:textId="77777777" w:rsidR="00377D65" w:rsidRPr="00377D65" w:rsidRDefault="00377D65" w:rsidP="00377D65">
      <w:pPr>
        <w:rPr>
          <w:b/>
          <w:bCs/>
        </w:rPr>
      </w:pPr>
      <w:r w:rsidRPr="00377D65">
        <w:rPr>
          <w:b/>
          <w:bCs/>
        </w:rPr>
        <w:t>SustainCERT supports the pilots with:</w:t>
      </w:r>
    </w:p>
    <w:p w14:paraId="0CDD316D" w14:textId="77777777" w:rsidR="00377D65" w:rsidRPr="00377D65" w:rsidRDefault="00377D65" w:rsidP="00377D65">
      <w:pPr>
        <w:numPr>
          <w:ilvl w:val="0"/>
          <w:numId w:val="36"/>
        </w:numPr>
        <w:spacing w:after="200" w:line="276" w:lineRule="auto"/>
        <w:contextualSpacing/>
      </w:pPr>
      <w:r w:rsidRPr="00377D65">
        <w:t>Leading to recruit and supporting organisation of implementation partners and funders</w:t>
      </w:r>
    </w:p>
    <w:p w14:paraId="1CBDCD76" w14:textId="77777777" w:rsidR="00377D65" w:rsidRPr="00377D65" w:rsidRDefault="00377D65" w:rsidP="00377D65">
      <w:pPr>
        <w:numPr>
          <w:ilvl w:val="0"/>
          <w:numId w:val="36"/>
        </w:numPr>
        <w:spacing w:after="200" w:line="276" w:lineRule="auto"/>
        <w:contextualSpacing/>
      </w:pPr>
      <w:r w:rsidRPr="00377D65">
        <w:t>Guidance during the selection and design of interventions, including:</w:t>
      </w:r>
    </w:p>
    <w:p w14:paraId="387FD773" w14:textId="77777777" w:rsidR="00377D65" w:rsidRPr="00377D65" w:rsidRDefault="00377D65" w:rsidP="00377D65">
      <w:pPr>
        <w:numPr>
          <w:ilvl w:val="0"/>
          <w:numId w:val="35"/>
        </w:numPr>
        <w:spacing w:after="200" w:line="276" w:lineRule="auto"/>
        <w:ind w:left="1224"/>
        <w:contextualSpacing/>
      </w:pPr>
      <w:r w:rsidRPr="00377D65">
        <w:t>Capacity building on value chain intervention guidance, carbon credit and Scope 3 claims and monetisation pathways.</w:t>
      </w:r>
    </w:p>
    <w:p w14:paraId="1B79175E" w14:textId="77777777" w:rsidR="00377D65" w:rsidRPr="00377D65" w:rsidRDefault="00377D65" w:rsidP="00377D65">
      <w:pPr>
        <w:numPr>
          <w:ilvl w:val="0"/>
          <w:numId w:val="35"/>
        </w:numPr>
        <w:spacing w:after="200" w:line="276" w:lineRule="auto"/>
        <w:ind w:left="1224"/>
        <w:contextualSpacing/>
      </w:pPr>
      <w:r w:rsidRPr="00377D65">
        <w:t>Support in identification and prioritisation of interventions with a review and benchmark of existing greenhouse gas quantification approaches</w:t>
      </w:r>
    </w:p>
    <w:p w14:paraId="0F823AA8" w14:textId="77777777" w:rsidR="00377D65" w:rsidRPr="00377D65" w:rsidRDefault="00377D65" w:rsidP="00377D65">
      <w:pPr>
        <w:numPr>
          <w:ilvl w:val="0"/>
          <w:numId w:val="35"/>
        </w:numPr>
        <w:spacing w:after="200" w:line="276" w:lineRule="auto"/>
        <w:ind w:left="1224"/>
        <w:contextualSpacing/>
      </w:pPr>
      <w:r w:rsidRPr="00377D65">
        <w:t>Support in understanding the verification process, rules and requirements</w:t>
      </w:r>
    </w:p>
    <w:p w14:paraId="1210F9C7" w14:textId="77777777" w:rsidR="00377D65" w:rsidRPr="00377D65" w:rsidRDefault="00377D65" w:rsidP="00377D65">
      <w:pPr>
        <w:numPr>
          <w:ilvl w:val="0"/>
          <w:numId w:val="35"/>
        </w:numPr>
        <w:spacing w:after="200" w:line="276" w:lineRule="auto"/>
        <w:ind w:left="1224"/>
        <w:contextualSpacing/>
      </w:pPr>
      <w:r w:rsidRPr="00377D65">
        <w:t>Support in outlining options and answering technical questions</w:t>
      </w:r>
    </w:p>
    <w:p w14:paraId="304B0A5B" w14:textId="77777777" w:rsidR="00377D65" w:rsidRPr="00377D65" w:rsidRDefault="00377D65" w:rsidP="00377D65">
      <w:pPr>
        <w:numPr>
          <w:ilvl w:val="0"/>
          <w:numId w:val="36"/>
        </w:numPr>
        <w:spacing w:after="200" w:line="276" w:lineRule="auto"/>
        <w:contextualSpacing/>
      </w:pPr>
      <w:r w:rsidRPr="00377D65">
        <w:t>Validation and verification services for interventions</w:t>
      </w:r>
    </w:p>
    <w:p w14:paraId="49D90E57" w14:textId="653699C3" w:rsidR="00377D65" w:rsidRDefault="00377D65" w:rsidP="00377D65">
      <w:pPr>
        <w:numPr>
          <w:ilvl w:val="0"/>
          <w:numId w:val="36"/>
        </w:numPr>
        <w:spacing w:after="200" w:line="276" w:lineRule="auto"/>
        <w:contextualSpacing/>
      </w:pPr>
      <w:r w:rsidRPr="00377D65">
        <w:t>Investing in creation of supporting infrastructure (DMRV module and IFTM) to lower MRV costs and enable ease of transfer of benefits and monetisation, and guarantee assurance against double-counting.</w:t>
      </w:r>
    </w:p>
    <w:p w14:paraId="7AB5C772" w14:textId="77777777" w:rsidR="00377D65" w:rsidRPr="00377D65" w:rsidRDefault="00377D65" w:rsidP="00377D65">
      <w:pPr>
        <w:spacing w:after="200" w:line="276" w:lineRule="auto"/>
        <w:ind w:left="720"/>
        <w:contextualSpacing/>
      </w:pPr>
    </w:p>
    <w:p w14:paraId="2707EBCF" w14:textId="77777777" w:rsidR="00377D65" w:rsidRPr="00377D65" w:rsidRDefault="00377D65" w:rsidP="00377D65">
      <w:pPr>
        <w:rPr>
          <w:b/>
          <w:bCs/>
        </w:rPr>
      </w:pPr>
      <w:r w:rsidRPr="00377D65">
        <w:rPr>
          <w:b/>
          <w:bCs/>
        </w:rPr>
        <w:t>Recruitment</w:t>
      </w:r>
    </w:p>
    <w:p w14:paraId="75EE339F" w14:textId="77777777" w:rsidR="00377D65" w:rsidRPr="00377D65" w:rsidRDefault="00377D65" w:rsidP="00377D65">
      <w:r w:rsidRPr="00377D65">
        <w:t>Stakeholders who have participated in the project design will be prioritised for inclusion to pilot programs and will be invited through an expression of interest. The support of MLA in the pursuit of interventions and developing the sectoral guidance will be critical to the success of this stakeholder engagement.</w:t>
      </w:r>
    </w:p>
    <w:p w14:paraId="1410655B" w14:textId="122826BA" w:rsidR="004A44C2" w:rsidRDefault="00377D65" w:rsidP="00ED7098">
      <w:pPr>
        <w:pStyle w:val="Heading1"/>
        <w:numPr>
          <w:ilvl w:val="0"/>
          <w:numId w:val="25"/>
        </w:numPr>
        <w:spacing w:line="240" w:lineRule="auto"/>
      </w:pPr>
      <w:r w:rsidRPr="007C332D">
        <w:rPr>
          <w:rFonts w:asciiTheme="minorHAnsi" w:eastAsiaTheme="minorHAnsi" w:hAnsiTheme="minorHAnsi" w:cstheme="minorBidi"/>
          <w:sz w:val="22"/>
          <w:szCs w:val="22"/>
        </w:rPr>
        <w:br w:type="page"/>
      </w:r>
      <w:bookmarkStart w:id="74" w:name="_Toc88494294"/>
      <w:r w:rsidR="004A44C2">
        <w:lastRenderedPageBreak/>
        <w:t>Conclusion</w:t>
      </w:r>
      <w:bookmarkEnd w:id="58"/>
      <w:bookmarkEnd w:id="74"/>
      <w:r w:rsidR="004A44C2">
        <w:t xml:space="preserve">  </w:t>
      </w:r>
    </w:p>
    <w:p w14:paraId="5AC47FD8" w14:textId="31E9C179" w:rsidR="00E11386" w:rsidRPr="00E11386" w:rsidRDefault="00E11386" w:rsidP="00E11386">
      <w:pPr>
        <w:pStyle w:val="ListParagraph"/>
        <w:keepNext/>
        <w:numPr>
          <w:ilvl w:val="0"/>
          <w:numId w:val="13"/>
        </w:numPr>
        <w:tabs>
          <w:tab w:val="left" w:pos="709"/>
        </w:tabs>
        <w:spacing w:before="240" w:after="240" w:line="240" w:lineRule="auto"/>
        <w:contextualSpacing w:val="0"/>
        <w:jc w:val="both"/>
        <w:outlineLvl w:val="1"/>
        <w:rPr>
          <w:rFonts w:cs="Arial"/>
          <w:b/>
          <w:vanish/>
          <w:sz w:val="28"/>
          <w:szCs w:val="24"/>
        </w:rPr>
      </w:pPr>
    </w:p>
    <w:p w14:paraId="69EEEE4B" w14:textId="74181402" w:rsidR="0048129F" w:rsidRDefault="004A44C2" w:rsidP="00E11386">
      <w:pPr>
        <w:pStyle w:val="Heading2"/>
      </w:pPr>
      <w:r>
        <w:t xml:space="preserve">  </w:t>
      </w:r>
      <w:bookmarkStart w:id="75" w:name="_Toc45718843"/>
      <w:bookmarkStart w:id="76" w:name="_Toc88494295"/>
      <w:r w:rsidR="0048129F">
        <w:t>Key findings</w:t>
      </w:r>
      <w:bookmarkEnd w:id="76"/>
    </w:p>
    <w:p w14:paraId="4262828A" w14:textId="77777777" w:rsidR="00FA1F31" w:rsidRPr="005E25E5" w:rsidRDefault="00FA1F31" w:rsidP="00FA1F31">
      <w:pPr>
        <w:pStyle w:val="ListParagraph"/>
        <w:numPr>
          <w:ilvl w:val="0"/>
          <w:numId w:val="38"/>
        </w:numPr>
      </w:pPr>
      <w:r w:rsidRPr="005E25E5">
        <w:t>Carbon project development in Australia remains the primary pathway for carbon benefits and structurally disincentivises many landowners</w:t>
      </w:r>
    </w:p>
    <w:p w14:paraId="5836B0D0" w14:textId="77777777" w:rsidR="00FA1F31" w:rsidRPr="005E25E5" w:rsidRDefault="00FA1F31" w:rsidP="00FA1F31">
      <w:pPr>
        <w:pStyle w:val="ListParagraph"/>
        <w:numPr>
          <w:ilvl w:val="0"/>
          <w:numId w:val="38"/>
        </w:numPr>
      </w:pPr>
      <w:r w:rsidRPr="005E25E5">
        <w:t xml:space="preserve">The current systems do not encourage producers to reduce emissions or sequester carbon </w:t>
      </w:r>
      <w:r>
        <w:t>that will contribute to the</w:t>
      </w:r>
      <w:r w:rsidRPr="005E25E5">
        <w:t xml:space="preserve"> red meat industry</w:t>
      </w:r>
      <w:r>
        <w:t xml:space="preserve"> goals for net zero claims</w:t>
      </w:r>
      <w:r w:rsidRPr="005E25E5">
        <w:t xml:space="preserve"> and gains are flowing out of the supply chain through the sale of carbon credits </w:t>
      </w:r>
    </w:p>
    <w:p w14:paraId="4529FCBF" w14:textId="77777777" w:rsidR="00FA1F31" w:rsidRPr="005E25E5" w:rsidRDefault="00FA1F31" w:rsidP="00FA1F31">
      <w:pPr>
        <w:pStyle w:val="ListParagraph"/>
        <w:numPr>
          <w:ilvl w:val="0"/>
          <w:numId w:val="38"/>
        </w:numPr>
      </w:pPr>
      <w:r>
        <w:t>Step c</w:t>
      </w:r>
      <w:r w:rsidRPr="005E25E5">
        <w:t xml:space="preserve">hanges within the red meat industry are needed to build capacity, </w:t>
      </w:r>
      <w:r>
        <w:t>internalise</w:t>
      </w:r>
      <w:r w:rsidRPr="005E25E5">
        <w:t xml:space="preserve"> knowledge and create the right settings</w:t>
      </w:r>
      <w:r>
        <w:t xml:space="preserve"> (ecosystems)</w:t>
      </w:r>
      <w:r w:rsidRPr="005E25E5">
        <w:t xml:space="preserve"> to motivate producers to </w:t>
      </w:r>
      <w:r>
        <w:t xml:space="preserve">adopt the digital tools that will allow them to </w:t>
      </w:r>
      <w:r w:rsidRPr="005E25E5">
        <w:t>participate in the low carbon economy</w:t>
      </w:r>
      <w:r>
        <w:t xml:space="preserve"> </w:t>
      </w:r>
    </w:p>
    <w:p w14:paraId="76D1F56A" w14:textId="77777777" w:rsidR="00FA1F31" w:rsidRPr="005E25E5" w:rsidRDefault="00FA1F31" w:rsidP="00FA1F31">
      <w:pPr>
        <w:pStyle w:val="ListParagraph"/>
        <w:numPr>
          <w:ilvl w:val="0"/>
          <w:numId w:val="38"/>
        </w:numPr>
      </w:pPr>
      <w:r w:rsidRPr="005E25E5">
        <w:t>The value proposition is not equally distributed across the supply chain or the producers so all opportunities should be leveraged</w:t>
      </w:r>
      <w:r>
        <w:t xml:space="preserve"> and risks of not participating need to be clearly articulated and understood</w:t>
      </w:r>
    </w:p>
    <w:p w14:paraId="6FC0CF07" w14:textId="77777777" w:rsidR="00FA1F31" w:rsidRDefault="00FA1F31" w:rsidP="00FA1F31">
      <w:pPr>
        <w:pStyle w:val="ListParagraph"/>
        <w:numPr>
          <w:ilvl w:val="0"/>
          <w:numId w:val="38"/>
        </w:numPr>
      </w:pPr>
      <w:r w:rsidRPr="005E25E5">
        <w:t xml:space="preserve">Corporate buyers are looking for credible reporting pathways that will enable them to support supply chain actors who want to implement activities to reduce </w:t>
      </w:r>
      <w:r>
        <w:t xml:space="preserve">red meat </w:t>
      </w:r>
      <w:r w:rsidRPr="005E25E5">
        <w:t>emissions</w:t>
      </w:r>
    </w:p>
    <w:p w14:paraId="52D3328F" w14:textId="77777777" w:rsidR="00FA1F31" w:rsidRPr="0048129F" w:rsidRDefault="00FA1F31" w:rsidP="00FA1F31">
      <w:pPr>
        <w:pStyle w:val="ListParagraph"/>
        <w:numPr>
          <w:ilvl w:val="0"/>
          <w:numId w:val="38"/>
        </w:numPr>
      </w:pPr>
      <w:r w:rsidRPr="005E25E5">
        <w:t>Corporate producers are seeking leadership opportunities to meet the expected demand for low carbon beef</w:t>
      </w:r>
    </w:p>
    <w:p w14:paraId="67C03AA2" w14:textId="4D1E5429" w:rsidR="004A44C2" w:rsidRPr="0040139C" w:rsidRDefault="0048129F" w:rsidP="00E11386">
      <w:pPr>
        <w:pStyle w:val="Heading2"/>
      </w:pPr>
      <w:r>
        <w:t xml:space="preserve">  </w:t>
      </w:r>
      <w:bookmarkStart w:id="77" w:name="_Toc88494296"/>
      <w:r w:rsidR="004A44C2">
        <w:t>Benefits to industry</w:t>
      </w:r>
      <w:bookmarkEnd w:id="75"/>
      <w:bookmarkEnd w:id="77"/>
    </w:p>
    <w:p w14:paraId="67D4945E" w14:textId="77777777" w:rsidR="00FA1F31" w:rsidRPr="00FA1F31" w:rsidRDefault="00FA1F31" w:rsidP="00FA1F31">
      <w:pPr>
        <w:spacing w:after="0" w:line="240" w:lineRule="auto"/>
        <w:rPr>
          <w:rFonts w:cs="Arial"/>
        </w:rPr>
      </w:pPr>
      <w:r w:rsidRPr="00FA1F31">
        <w:rPr>
          <w:rFonts w:cs="Arial"/>
        </w:rPr>
        <w:t>This project is aligned to the Integrated management systems work stream of MLA’s Carbon Neutral Roadmap for 2030. It is an important body of work in relation to building the industry wide ecosystem that will be needed to commence and accelerate the abatement required to meet the targets and drive ambition. Australia does lag in technology adoption, and this is recognised as a constraining issue (Harvey 2021). The digitisation of farming and food production is inevitable, and Australia is at the forefront of development despite the lack of local investment (Nolet 2020).</w:t>
      </w:r>
    </w:p>
    <w:p w14:paraId="614CBF73" w14:textId="56D87638" w:rsidR="00FA1F31" w:rsidRDefault="00FA1F31" w:rsidP="00FA1F31">
      <w:pPr>
        <w:spacing w:after="0" w:line="240" w:lineRule="auto"/>
        <w:rPr>
          <w:rFonts w:cs="Arial"/>
        </w:rPr>
      </w:pPr>
      <w:r w:rsidRPr="00FA1F31">
        <w:rPr>
          <w:rFonts w:cs="Arial"/>
        </w:rPr>
        <w:t xml:space="preserve">There are a number of reasons for technology hesitancy including connectivity, uncertainty and capability with the use of technology and concerns about the level of additional work to record data etc. The pace of industry digitisation can be ramped up with pulling levers that increase incentives that will tip the balance and reduce barriers. </w:t>
      </w:r>
    </w:p>
    <w:p w14:paraId="493C2C71" w14:textId="77777777" w:rsidR="00FA1F31" w:rsidRPr="00FA1F31" w:rsidRDefault="00FA1F31" w:rsidP="00FA1F31">
      <w:pPr>
        <w:spacing w:after="0" w:line="240" w:lineRule="auto"/>
        <w:rPr>
          <w:rFonts w:cs="Arial"/>
        </w:rPr>
      </w:pPr>
    </w:p>
    <w:p w14:paraId="58598ECB" w14:textId="77777777" w:rsidR="00FA1F31" w:rsidRPr="00FA1F31" w:rsidRDefault="00FA1F31" w:rsidP="00FA1F31">
      <w:pPr>
        <w:spacing w:after="0" w:line="240" w:lineRule="auto"/>
        <w:rPr>
          <w:rFonts w:cs="Arial"/>
        </w:rPr>
      </w:pPr>
      <w:r w:rsidRPr="00FA1F31">
        <w:rPr>
          <w:rFonts w:cs="Arial"/>
        </w:rPr>
        <w:t>The digitised SustainCERT platform and the supply shed model is an incentive that will attract producers. This is a unique approach where producers and other supply chain actors (feed lotters and processors) can create value for their own business financially and make claims for lower emissions and contributing to the industry’s goals. This is a fundamental shift to the well understood value proposition of creating a carbon credit and selling those credits outside of the supply chain, where it can no longer be attributed to an emissions removal from the red meat industry.</w:t>
      </w:r>
    </w:p>
    <w:p w14:paraId="7EC7F0C9" w14:textId="1BD1D6D8" w:rsidR="00FA1F31" w:rsidRDefault="00FA1F31" w:rsidP="00FA1F31">
      <w:pPr>
        <w:spacing w:after="0" w:line="240" w:lineRule="auto"/>
        <w:rPr>
          <w:rFonts w:cs="Arial"/>
        </w:rPr>
      </w:pPr>
      <w:r w:rsidRPr="00FA1F31">
        <w:rPr>
          <w:rFonts w:cs="Arial"/>
        </w:rPr>
        <w:t xml:space="preserve">SustainCERT have developed a credible pathway and process through extensive consultation for tracking an improved emission factor through supply chains. This allows the ‘owner’ of the intervention’ to be rewarded and the ‘buyer’ of an intervention to unlock the corporate reporting requirements they are seeking for Scope 3 emissions. The model allows for and SustainCERT proposes that the corporate community that will benefit, will also fund the development, testing and fine tuning of the industry specific model on the digital platform, which will in turn, attract suppliers who can fill the demand. </w:t>
      </w:r>
    </w:p>
    <w:p w14:paraId="5C2BD9C2" w14:textId="77777777" w:rsidR="00FA1F31" w:rsidRPr="00FA1F31" w:rsidRDefault="00FA1F31" w:rsidP="00FA1F31">
      <w:pPr>
        <w:spacing w:after="0" w:line="240" w:lineRule="auto"/>
        <w:rPr>
          <w:rFonts w:cs="Arial"/>
        </w:rPr>
      </w:pPr>
    </w:p>
    <w:p w14:paraId="576D5690" w14:textId="4CAF5ADC" w:rsidR="00FA1F31" w:rsidRDefault="00FA1F31" w:rsidP="00FA1F31">
      <w:pPr>
        <w:spacing w:after="0" w:line="240" w:lineRule="auto"/>
        <w:rPr>
          <w:rFonts w:cs="Arial"/>
        </w:rPr>
      </w:pPr>
      <w:r w:rsidRPr="00FA1F31">
        <w:rPr>
          <w:rFonts w:cs="Arial"/>
        </w:rPr>
        <w:lastRenderedPageBreak/>
        <w:t xml:space="preserve">The beef from a supply shed that is included in the program, will inevitably have a lower emission factor over a period of time and attract more buyers. Anyone in the supply chain who is reducing emissions can benefit as the emission factor can be impacted at all stages. </w:t>
      </w:r>
    </w:p>
    <w:p w14:paraId="7E3D7C1D" w14:textId="77777777" w:rsidR="00FA1F31" w:rsidRPr="00FA1F31" w:rsidRDefault="00FA1F31" w:rsidP="00FA1F31">
      <w:pPr>
        <w:spacing w:after="0" w:line="240" w:lineRule="auto"/>
        <w:rPr>
          <w:rFonts w:cs="Arial"/>
        </w:rPr>
      </w:pPr>
    </w:p>
    <w:p w14:paraId="54965921" w14:textId="189EC2C8" w:rsidR="004A44C2" w:rsidRPr="00FA1F31" w:rsidRDefault="00FA1F31" w:rsidP="00FA1F31">
      <w:pPr>
        <w:spacing w:after="0" w:line="240" w:lineRule="auto"/>
        <w:rPr>
          <w:rFonts w:cs="Arial"/>
        </w:rPr>
      </w:pPr>
      <w:r w:rsidRPr="00FA1F31">
        <w:rPr>
          <w:rFonts w:cs="Arial"/>
        </w:rPr>
        <w:t>An area for growth is for buyers of co-products, these could be from apparel or textile industries for those seeking certified low carbon hides or potentially from the pet food sector. Corporates with Scope 3 reporting requirements will be able to purchase products with an improved emission factor, and this is an entire new area of opportunity to be explored in relation to beef that has a reduced emission factor and presents an opportunity for owners of interventions that are implemented prior to processing</w:t>
      </w:r>
    </w:p>
    <w:p w14:paraId="73DCF1DF" w14:textId="77777777" w:rsidR="004A44C2" w:rsidRPr="0017156A" w:rsidRDefault="004A44C2" w:rsidP="004C56C4">
      <w:pPr>
        <w:pStyle w:val="Heading1"/>
        <w:keepLines w:val="0"/>
        <w:numPr>
          <w:ilvl w:val="0"/>
          <w:numId w:val="25"/>
        </w:numPr>
        <w:spacing w:after="240" w:line="240" w:lineRule="auto"/>
        <w:jc w:val="both"/>
      </w:pPr>
      <w:bookmarkStart w:id="78" w:name="_Toc45718844"/>
      <w:bookmarkStart w:id="79" w:name="_Toc88494297"/>
      <w:r>
        <w:t>Future research and recommendations</w:t>
      </w:r>
      <w:bookmarkEnd w:id="78"/>
      <w:bookmarkEnd w:id="79"/>
      <w:r w:rsidRPr="0017156A">
        <w:t xml:space="preserve"> </w:t>
      </w:r>
    </w:p>
    <w:p w14:paraId="48D506DE" w14:textId="48CCD33D" w:rsidR="00FA1F31" w:rsidRDefault="00FA1F31" w:rsidP="00FA1F31">
      <w:pPr>
        <w:spacing w:after="0" w:line="240" w:lineRule="auto"/>
        <w:rPr>
          <w:rFonts w:cs="Arial"/>
        </w:rPr>
      </w:pPr>
      <w:r w:rsidRPr="00FA1F31">
        <w:rPr>
          <w:rFonts w:cs="Arial"/>
        </w:rPr>
        <w:t xml:space="preserve">SustainCERT recommends that MLA encourage and facilitate the broader take-up of digital technology for producers, feed lotters and processors to enable access to the low emissions and carbon markets. </w:t>
      </w:r>
    </w:p>
    <w:p w14:paraId="74D0970F" w14:textId="77777777" w:rsidR="00FA1F31" w:rsidRPr="00FA1F31" w:rsidRDefault="00FA1F31" w:rsidP="00FA1F31">
      <w:pPr>
        <w:spacing w:after="0" w:line="240" w:lineRule="auto"/>
        <w:rPr>
          <w:rFonts w:cs="Arial"/>
        </w:rPr>
      </w:pPr>
    </w:p>
    <w:p w14:paraId="2F754B4A" w14:textId="4D94DE1F" w:rsidR="00FA1F31" w:rsidRDefault="00FA1F31" w:rsidP="00FA1F31">
      <w:pPr>
        <w:spacing w:after="0" w:line="240" w:lineRule="auto"/>
        <w:rPr>
          <w:rFonts w:cs="Arial"/>
        </w:rPr>
      </w:pPr>
      <w:r w:rsidRPr="00FA1F31">
        <w:rPr>
          <w:rFonts w:cs="Arial"/>
        </w:rPr>
        <w:t>SustainCERT recommends that MLA and their constituents and partners ensure that the GHG protocol project for addressing corporate accounting rules on removals be incorporated into any revisions of the CN30 Roadmap and targets. This project outcome will help guide the use of vegetation and soil sequestration offsets for corporates.</w:t>
      </w:r>
    </w:p>
    <w:p w14:paraId="631A23E6" w14:textId="77777777" w:rsidR="00FA1F31" w:rsidRPr="00FA1F31" w:rsidRDefault="00FA1F31" w:rsidP="00FA1F31">
      <w:pPr>
        <w:spacing w:after="0" w:line="240" w:lineRule="auto"/>
        <w:rPr>
          <w:rFonts w:cs="Arial"/>
        </w:rPr>
      </w:pPr>
    </w:p>
    <w:p w14:paraId="41D62B27" w14:textId="38EF6793" w:rsidR="00FA1F31" w:rsidRDefault="00FA1F31" w:rsidP="00FA1F31">
      <w:pPr>
        <w:spacing w:after="0" w:line="240" w:lineRule="auto"/>
        <w:rPr>
          <w:rFonts w:cs="Arial"/>
        </w:rPr>
      </w:pPr>
      <w:r w:rsidRPr="00FA1F31">
        <w:rPr>
          <w:rFonts w:cs="Arial"/>
        </w:rPr>
        <w:t>SustainCERT recommend that government and corporate support be pursued to enable red meat producers, feed lotters and processors to develop their own set of GHG accounts. This could include outreach, knowledge sharing, technical assistance and provision of ongoing support to ensure that an early-stage progress step of GHG accounting is used to participate in programs that provide the best carbon benefit for both individual businesses and the industry.</w:t>
      </w:r>
    </w:p>
    <w:p w14:paraId="536536A9" w14:textId="77777777" w:rsidR="00FA1F31" w:rsidRPr="00FA1F31" w:rsidRDefault="00FA1F31" w:rsidP="00FA1F31">
      <w:pPr>
        <w:spacing w:after="0" w:line="240" w:lineRule="auto"/>
        <w:rPr>
          <w:rFonts w:cs="Arial"/>
        </w:rPr>
      </w:pPr>
    </w:p>
    <w:p w14:paraId="504245C4" w14:textId="74049B5A" w:rsidR="00FA1F31" w:rsidRDefault="00FA1F31" w:rsidP="00FA1F31">
      <w:pPr>
        <w:spacing w:after="0" w:line="240" w:lineRule="auto"/>
        <w:rPr>
          <w:rFonts w:cs="Arial"/>
        </w:rPr>
      </w:pPr>
      <w:r w:rsidRPr="00FA1F31">
        <w:rPr>
          <w:rFonts w:cs="Arial"/>
        </w:rPr>
        <w:t>There is no, one size fits all approach and the complexity of supply chains, the market opportunities and challenges, individual business models and operating environment all add to an already complex decision-making process. In this context it is recommended that MLA continue to be engaged with the digital SustainCERT platform and participate in pilots in 2022.</w:t>
      </w:r>
    </w:p>
    <w:p w14:paraId="6FC8B81D" w14:textId="77777777" w:rsidR="00FA1F31" w:rsidRPr="00FA1F31" w:rsidRDefault="00FA1F31" w:rsidP="00FA1F31">
      <w:pPr>
        <w:spacing w:after="0" w:line="240" w:lineRule="auto"/>
        <w:rPr>
          <w:rFonts w:cs="Arial"/>
        </w:rPr>
      </w:pPr>
    </w:p>
    <w:p w14:paraId="197B5ECD" w14:textId="77777777" w:rsidR="00FA1F31" w:rsidRPr="00FA1F31" w:rsidRDefault="00FA1F31" w:rsidP="00FA1F31">
      <w:pPr>
        <w:spacing w:after="0" w:line="240" w:lineRule="auto"/>
        <w:rPr>
          <w:rFonts w:cs="Arial"/>
        </w:rPr>
      </w:pPr>
      <w:r w:rsidRPr="00FA1F31">
        <w:rPr>
          <w:rFonts w:cs="Arial"/>
        </w:rPr>
        <w:t>It is recommended that MLA and their constituents participate in piloting the digital solutions proposed for the following reasons:</w:t>
      </w:r>
    </w:p>
    <w:p w14:paraId="2CF095D9" w14:textId="10EB8E33" w:rsidR="00FA1F31" w:rsidRPr="00FA1F31" w:rsidRDefault="00FA1F31" w:rsidP="00FA1F31">
      <w:pPr>
        <w:numPr>
          <w:ilvl w:val="0"/>
          <w:numId w:val="29"/>
        </w:numPr>
        <w:spacing w:after="0" w:line="240" w:lineRule="auto"/>
        <w:rPr>
          <w:rFonts w:cs="Arial"/>
        </w:rPr>
      </w:pPr>
      <w:r w:rsidRPr="00FA1F31">
        <w:rPr>
          <w:rFonts w:cs="Arial"/>
        </w:rPr>
        <w:t>To improve understanding of global value chain initiatives and rules for reporting on emissions</w:t>
      </w:r>
    </w:p>
    <w:p w14:paraId="24B1623A" w14:textId="37BAE5E9" w:rsidR="00FA1F31" w:rsidRPr="00FA1F31" w:rsidRDefault="00FA1F31" w:rsidP="00FA1F31">
      <w:pPr>
        <w:numPr>
          <w:ilvl w:val="0"/>
          <w:numId w:val="29"/>
        </w:numPr>
        <w:spacing w:after="0" w:line="240" w:lineRule="auto"/>
        <w:rPr>
          <w:rFonts w:cs="Arial"/>
        </w:rPr>
      </w:pPr>
      <w:r w:rsidRPr="00FA1F31">
        <w:rPr>
          <w:rFonts w:cs="Arial"/>
        </w:rPr>
        <w:t>To solve issues of monitoring, reporting and verification of data to enable carbon benefits to be transferred to those willing to pay to make claims</w:t>
      </w:r>
    </w:p>
    <w:p w14:paraId="44120DFB" w14:textId="1812FC01" w:rsidR="00FA1F31" w:rsidRPr="00FA1F31" w:rsidRDefault="00FA1F31" w:rsidP="00FA1F31">
      <w:pPr>
        <w:numPr>
          <w:ilvl w:val="0"/>
          <w:numId w:val="29"/>
        </w:numPr>
        <w:spacing w:after="0" w:line="240" w:lineRule="auto"/>
        <w:rPr>
          <w:rFonts w:cs="Arial"/>
        </w:rPr>
      </w:pPr>
      <w:r w:rsidRPr="00FA1F31">
        <w:rPr>
          <w:rFonts w:cs="Arial"/>
        </w:rPr>
        <w:t>To retain carbon benefits within the industry, while at the same time creating value for efforts to reduce and remove GHG emissions through land stewardship opportunities</w:t>
      </w:r>
    </w:p>
    <w:p w14:paraId="03AF37E5" w14:textId="2B5A7C78" w:rsidR="00FA1F31" w:rsidRPr="00FA1F31" w:rsidRDefault="00FA1F31" w:rsidP="00FA1F31">
      <w:pPr>
        <w:numPr>
          <w:ilvl w:val="0"/>
          <w:numId w:val="29"/>
        </w:numPr>
        <w:spacing w:after="0" w:line="240" w:lineRule="auto"/>
        <w:rPr>
          <w:rFonts w:cs="Arial"/>
        </w:rPr>
      </w:pPr>
      <w:r w:rsidRPr="00FA1F31">
        <w:rPr>
          <w:rFonts w:cs="Arial"/>
        </w:rPr>
        <w:t>To position the industry ahead of competitors and regulatory changes as well as leverage opportunities to gain access to new markets.</w:t>
      </w:r>
    </w:p>
    <w:p w14:paraId="06593189" w14:textId="77777777" w:rsidR="00FA1F31" w:rsidRDefault="00FA1F31" w:rsidP="00FA1F31">
      <w:pPr>
        <w:spacing w:after="0" w:line="240" w:lineRule="auto"/>
        <w:rPr>
          <w:rFonts w:cs="Arial"/>
        </w:rPr>
      </w:pPr>
    </w:p>
    <w:p w14:paraId="73FFFA45" w14:textId="283D7E30" w:rsidR="00FA1F31" w:rsidRDefault="00FA1F31" w:rsidP="00FA1F31">
      <w:pPr>
        <w:spacing w:after="0" w:line="240" w:lineRule="auto"/>
        <w:rPr>
          <w:rFonts w:cs="Arial"/>
        </w:rPr>
      </w:pPr>
      <w:r w:rsidRPr="00FA1F31">
        <w:rPr>
          <w:rFonts w:cs="Arial"/>
        </w:rPr>
        <w:t xml:space="preserve">There is evidence that the Clean Energy Regulator (CER) will focus on opportunities for Australian land managers to better engage with carbon removals and avoidance activities. This has been explicitly addressed by the CER (Parker 2021) at the Carbon Market Institute’s Carbon Farming Forum in September 2021. The federal government commitment is further demonstrated through the leadership of sector specific taskforces, such as the livestock industry forum (CER 2021) and the invitation to industry to submit proposals to prioritise new methods to increase agricultural and carbon farming opportunities (Dept. Industry 2021). The Department of Energy and Emissions </w:t>
      </w:r>
      <w:r w:rsidRPr="00FA1F31">
        <w:rPr>
          <w:rFonts w:cs="Arial"/>
        </w:rPr>
        <w:lastRenderedPageBreak/>
        <w:t>Reduction has announced they will support the prioritisation of a new method for a ‘Landscape’ approach to enable stacking or combining of land-based interventions for 2022 as well as support for the development of livestock feed technologies for a future enteric methane method (Dept. Energy 2021). Through this avenue MLA can stay engaged with the carbon industry and government policy changes that will unlock scaling up of producer participation. Initiatives to support the sector from government through subsidies or grants should be informed by industry associations as well as technology providers, who are discovering and co-designing digital and technology solutions for farm and landscape measurement and management issues related to GHG emissions.</w:t>
      </w:r>
    </w:p>
    <w:p w14:paraId="5A1EB853" w14:textId="77777777" w:rsidR="00FA1F31" w:rsidRPr="00FA1F31" w:rsidRDefault="00FA1F31" w:rsidP="00FA1F31">
      <w:pPr>
        <w:spacing w:after="0" w:line="240" w:lineRule="auto"/>
        <w:rPr>
          <w:rFonts w:cs="Arial"/>
        </w:rPr>
      </w:pPr>
    </w:p>
    <w:p w14:paraId="3E311E1B" w14:textId="77777777" w:rsidR="00FA1F31" w:rsidRPr="00FA1F31" w:rsidRDefault="00FA1F31" w:rsidP="00FA1F31">
      <w:pPr>
        <w:spacing w:after="0" w:line="240" w:lineRule="auto"/>
        <w:rPr>
          <w:rFonts w:cs="Arial"/>
        </w:rPr>
      </w:pPr>
      <w:r w:rsidRPr="00FA1F31">
        <w:rPr>
          <w:rFonts w:cs="Arial"/>
        </w:rPr>
        <w:t>The average size of an Australian herd is relatively small, the Australian Consumer and Competition Commission published data in 2017 stating the average herd in the northern part of Australia is 1576, with the majority of cattle held on a relatively small number of very large properties and in the southern cooler climates, the average herd is much smaller at 412 (ACCC 2017). Most producers have property sizes that challenge the feasibility of investing in a carbon project. This is a barrier to entry for any programs that bring carbon benefits. Scale increases feasibility and reduces risks and aggregation of properties has been the primary driver for carbon projects for smaller producers. Aggregation for carbon projects is generally well understood and this process will need to be translated and adapted to a future emission factor reporting pathway or other GHG reporting initiatives to ensure that producers with average sized herds and smaller land holdings are not excluded. SustainCERT aim to continue consulting with carbon project developers to ensure that initiatives beyond ‘carbon credit’ production are feasible and existing structures to remove barriers are enhanced.</w:t>
      </w:r>
    </w:p>
    <w:p w14:paraId="7D5CC127" w14:textId="77777777" w:rsidR="00FA1F31" w:rsidRPr="00FA1F31" w:rsidRDefault="00FA1F31" w:rsidP="00FA1F31">
      <w:pPr>
        <w:spacing w:after="0" w:line="240" w:lineRule="auto"/>
        <w:rPr>
          <w:rFonts w:cs="Arial"/>
        </w:rPr>
      </w:pPr>
    </w:p>
    <w:p w14:paraId="36379AA2" w14:textId="08A9CB94" w:rsidR="00FA1F31" w:rsidRDefault="00FA1F31" w:rsidP="00FA1F31">
      <w:pPr>
        <w:spacing w:after="0" w:line="240" w:lineRule="auto"/>
        <w:rPr>
          <w:rFonts w:cs="Arial"/>
        </w:rPr>
      </w:pPr>
      <w:r w:rsidRPr="00FA1F31">
        <w:rPr>
          <w:rFonts w:cs="Arial"/>
        </w:rPr>
        <w:t>The Australian red meat industry includes beef, sheep and goat meat. Although sheep and goat categories have targets and challenges with GHG emission management and reporting processes, the focus has been on beef due to the higher emissions profile of that livestock. Sheep and goat meat production and the associated emissions will require more time and resources to accelerate their potential emissions reduction position. Investment for research and development of methods and tools for calculating emissions and the technologies to reduce emissions will enable producers of sheep and goat meat to participate in decarbonisation of production and the supply chain and will assist the industry to reach its climate targets.</w:t>
      </w:r>
    </w:p>
    <w:p w14:paraId="74F39513" w14:textId="77777777" w:rsidR="00FA1F31" w:rsidRPr="00FA1F31" w:rsidRDefault="00FA1F31" w:rsidP="00FA1F31">
      <w:pPr>
        <w:spacing w:after="0" w:line="240" w:lineRule="auto"/>
        <w:rPr>
          <w:rFonts w:cs="Arial"/>
        </w:rPr>
      </w:pPr>
    </w:p>
    <w:p w14:paraId="69686CB4" w14:textId="2061C6BE" w:rsidR="00FA1F31" w:rsidRDefault="00FA1F31">
      <w:pPr>
        <w:rPr>
          <w:rFonts w:cs="Arial"/>
          <w:i/>
        </w:rPr>
      </w:pPr>
      <w:r>
        <w:rPr>
          <w:rFonts w:cs="Arial"/>
          <w:i/>
        </w:rPr>
        <w:br w:type="page"/>
      </w:r>
    </w:p>
    <w:p w14:paraId="661F35F7" w14:textId="77777777" w:rsidR="004A44C2" w:rsidRPr="0017156A" w:rsidRDefault="004A44C2" w:rsidP="004C56C4">
      <w:pPr>
        <w:pStyle w:val="Heading1"/>
        <w:keepLines w:val="0"/>
        <w:numPr>
          <w:ilvl w:val="0"/>
          <w:numId w:val="25"/>
        </w:numPr>
        <w:spacing w:after="240" w:line="240" w:lineRule="auto"/>
        <w:jc w:val="both"/>
      </w:pPr>
      <w:bookmarkStart w:id="80" w:name="_Toc45718845"/>
      <w:bookmarkStart w:id="81" w:name="_Toc88494298"/>
      <w:r>
        <w:lastRenderedPageBreak/>
        <w:t>References</w:t>
      </w:r>
      <w:bookmarkEnd w:id="80"/>
      <w:bookmarkEnd w:id="81"/>
      <w:r w:rsidRPr="0017156A">
        <w:t xml:space="preserve"> </w:t>
      </w:r>
    </w:p>
    <w:p w14:paraId="261E58BB" w14:textId="513624CC" w:rsidR="00FA1F31" w:rsidRDefault="00A968C3" w:rsidP="00FA1F31">
      <w:pPr>
        <w:spacing w:after="0" w:line="240" w:lineRule="auto"/>
        <w:rPr>
          <w:sz w:val="20"/>
          <w:szCs w:val="20"/>
        </w:rPr>
      </w:pPr>
      <w:r>
        <w:rPr>
          <w:sz w:val="20"/>
          <w:szCs w:val="20"/>
        </w:rPr>
        <w:t>ABRES</w:t>
      </w:r>
      <w:r w:rsidR="002D68E5">
        <w:rPr>
          <w:sz w:val="20"/>
          <w:szCs w:val="20"/>
        </w:rPr>
        <w:t xml:space="preserve"> </w:t>
      </w:r>
      <w:r w:rsidR="00FA1F31" w:rsidRPr="00601C96">
        <w:rPr>
          <w:sz w:val="20"/>
          <w:szCs w:val="20"/>
        </w:rPr>
        <w:t>2021</w:t>
      </w:r>
      <w:r>
        <w:rPr>
          <w:sz w:val="20"/>
          <w:szCs w:val="20"/>
        </w:rPr>
        <w:t xml:space="preserve">, </w:t>
      </w:r>
      <w:r w:rsidR="00FA1F31" w:rsidRPr="00601C96">
        <w:rPr>
          <w:sz w:val="20"/>
          <w:szCs w:val="20"/>
        </w:rPr>
        <w:t xml:space="preserve"> Agricultural statistics for 2020. </w:t>
      </w:r>
      <w:r w:rsidR="00FA1F31">
        <w:rPr>
          <w:sz w:val="20"/>
          <w:szCs w:val="20"/>
        </w:rPr>
        <w:t>The Australian Bureau of Rural and Environmental Science.</w:t>
      </w:r>
      <w:r w:rsidR="00FA1F31" w:rsidRPr="00601C96">
        <w:rPr>
          <w:sz w:val="20"/>
          <w:szCs w:val="20"/>
        </w:rPr>
        <w:t xml:space="preserve"> The Department of Agriculture, Water and the Environment. Commonwealth Government.</w:t>
      </w:r>
      <w:r w:rsidR="00FA1F31">
        <w:rPr>
          <w:sz w:val="20"/>
          <w:szCs w:val="20"/>
        </w:rPr>
        <w:t xml:space="preserve"> </w:t>
      </w:r>
      <w:hyperlink r:id="rId45" w:anchor="december" w:history="1">
        <w:r w:rsidR="00FA1F31" w:rsidRPr="00432264">
          <w:rPr>
            <w:rStyle w:val="Hyperlink"/>
            <w:sz w:val="20"/>
            <w:szCs w:val="20"/>
          </w:rPr>
          <w:t>https://www.awe.gov.au/biosecurity-trade/export/controlled-goods/meat/statistics/red-meat-stats-2020#december</w:t>
        </w:r>
      </w:hyperlink>
      <w:r w:rsidR="00FA1F31">
        <w:rPr>
          <w:sz w:val="20"/>
          <w:szCs w:val="20"/>
        </w:rPr>
        <w:t xml:space="preserve"> </w:t>
      </w:r>
      <w:r w:rsidR="00FA1F31">
        <w:rPr>
          <w:i/>
          <w:iCs/>
          <w:sz w:val="20"/>
          <w:szCs w:val="20"/>
        </w:rPr>
        <w:t>Accessed July 2021</w:t>
      </w:r>
    </w:p>
    <w:p w14:paraId="753ECC4E" w14:textId="77777777" w:rsidR="00FA1F31" w:rsidRDefault="00FA1F31" w:rsidP="00FA1F31">
      <w:pPr>
        <w:spacing w:after="0" w:line="240" w:lineRule="auto"/>
        <w:rPr>
          <w:sz w:val="20"/>
          <w:szCs w:val="20"/>
        </w:rPr>
      </w:pPr>
    </w:p>
    <w:p w14:paraId="0530CC64" w14:textId="024A336A" w:rsidR="00FA1F31" w:rsidRPr="00DD2DE7" w:rsidRDefault="00FA1F31" w:rsidP="00FA1F31">
      <w:pPr>
        <w:spacing w:after="0" w:line="240" w:lineRule="auto"/>
        <w:rPr>
          <w:sz w:val="20"/>
          <w:szCs w:val="20"/>
        </w:rPr>
      </w:pPr>
      <w:r>
        <w:rPr>
          <w:sz w:val="20"/>
          <w:szCs w:val="20"/>
        </w:rPr>
        <w:t>ACCC</w:t>
      </w:r>
      <w:r w:rsidR="002D68E5">
        <w:rPr>
          <w:sz w:val="20"/>
          <w:szCs w:val="20"/>
        </w:rPr>
        <w:t xml:space="preserve"> </w:t>
      </w:r>
      <w:r w:rsidR="00A968C3">
        <w:rPr>
          <w:sz w:val="20"/>
          <w:szCs w:val="20"/>
        </w:rPr>
        <w:t xml:space="preserve">2017, </w:t>
      </w:r>
      <w:r>
        <w:rPr>
          <w:sz w:val="20"/>
          <w:szCs w:val="20"/>
        </w:rPr>
        <w:t xml:space="preserve"> </w:t>
      </w:r>
      <w:r>
        <w:rPr>
          <w:i/>
          <w:iCs/>
          <w:sz w:val="20"/>
          <w:szCs w:val="20"/>
        </w:rPr>
        <w:t xml:space="preserve">Cattle and Beef Market Study. Final Report March 2017. </w:t>
      </w:r>
      <w:r>
        <w:rPr>
          <w:sz w:val="20"/>
          <w:szCs w:val="20"/>
        </w:rPr>
        <w:t xml:space="preserve">Prepared by the Australian Competition and Consumer Commission. </w:t>
      </w:r>
      <w:hyperlink r:id="rId46" w:history="1">
        <w:r w:rsidRPr="00432264">
          <w:rPr>
            <w:rStyle w:val="Hyperlink"/>
            <w:sz w:val="20"/>
            <w:szCs w:val="20"/>
          </w:rPr>
          <w:t>www.accc.gov.au</w:t>
        </w:r>
      </w:hyperlink>
      <w:r>
        <w:rPr>
          <w:sz w:val="20"/>
          <w:szCs w:val="20"/>
        </w:rPr>
        <w:t xml:space="preserve"> </w:t>
      </w:r>
      <w:r>
        <w:rPr>
          <w:i/>
          <w:iCs/>
          <w:sz w:val="20"/>
          <w:szCs w:val="20"/>
        </w:rPr>
        <w:t>Accessed 2020/2021</w:t>
      </w:r>
    </w:p>
    <w:p w14:paraId="3C1DDC24" w14:textId="77777777" w:rsidR="00FA1F31" w:rsidRPr="00601C96" w:rsidRDefault="00FA1F31" w:rsidP="00FA1F31">
      <w:pPr>
        <w:spacing w:after="0" w:line="240" w:lineRule="auto"/>
        <w:ind w:left="360"/>
        <w:rPr>
          <w:i/>
          <w:iCs/>
          <w:sz w:val="20"/>
          <w:szCs w:val="20"/>
        </w:rPr>
      </w:pPr>
    </w:p>
    <w:p w14:paraId="60931350" w14:textId="2F97AB95" w:rsidR="00FA1F31" w:rsidRPr="00601C96" w:rsidRDefault="00FA1F31" w:rsidP="00FA1F31">
      <w:pPr>
        <w:spacing w:after="0" w:line="240" w:lineRule="auto"/>
        <w:rPr>
          <w:rFonts w:eastAsiaTheme="minorEastAsia"/>
          <w:sz w:val="20"/>
          <w:szCs w:val="20"/>
        </w:rPr>
      </w:pPr>
      <w:r w:rsidRPr="00601C96">
        <w:rPr>
          <w:sz w:val="20"/>
          <w:szCs w:val="20"/>
        </w:rPr>
        <w:t>AIG</w:t>
      </w:r>
      <w:r w:rsidR="002D68E5">
        <w:rPr>
          <w:sz w:val="20"/>
          <w:szCs w:val="20"/>
        </w:rPr>
        <w:t xml:space="preserve"> </w:t>
      </w:r>
      <w:r w:rsidR="00A968C3">
        <w:rPr>
          <w:sz w:val="20"/>
          <w:szCs w:val="20"/>
        </w:rPr>
        <w:t xml:space="preserve"> </w:t>
      </w:r>
      <w:r w:rsidRPr="00601C96">
        <w:rPr>
          <w:sz w:val="20"/>
          <w:szCs w:val="20"/>
        </w:rPr>
        <w:t>2021</w:t>
      </w:r>
      <w:r w:rsidR="00A968C3">
        <w:rPr>
          <w:sz w:val="20"/>
          <w:szCs w:val="20"/>
        </w:rPr>
        <w:t>,</w:t>
      </w:r>
      <w:r w:rsidRPr="00601C96">
        <w:rPr>
          <w:sz w:val="20"/>
          <w:szCs w:val="20"/>
        </w:rPr>
        <w:t xml:space="preserve"> The Australian Industry Group. Swings and Roundabouts the unexpected effects of Ca</w:t>
      </w:r>
      <w:r w:rsidRPr="00601C96">
        <w:rPr>
          <w:rFonts w:eastAsiaTheme="minorEastAsia"/>
          <w:sz w:val="20"/>
          <w:szCs w:val="20"/>
        </w:rPr>
        <w:t>rbon Border Adjustments on Australia August 2021.</w:t>
      </w:r>
    </w:p>
    <w:p w14:paraId="0558D3C9" w14:textId="77777777" w:rsidR="00FA1F31" w:rsidRPr="00601C96" w:rsidRDefault="00FA1F31" w:rsidP="00FA1F31">
      <w:pPr>
        <w:spacing w:after="0" w:line="240" w:lineRule="auto"/>
        <w:rPr>
          <w:rFonts w:eastAsiaTheme="minorEastAsia"/>
          <w:sz w:val="20"/>
          <w:szCs w:val="20"/>
        </w:rPr>
      </w:pPr>
    </w:p>
    <w:p w14:paraId="3BC172D4" w14:textId="39F84802" w:rsidR="00FA1F31" w:rsidRPr="00601C96" w:rsidRDefault="00FA1F31" w:rsidP="00FA1F31">
      <w:pPr>
        <w:spacing w:after="0" w:line="240" w:lineRule="auto"/>
        <w:rPr>
          <w:i/>
          <w:iCs/>
          <w:sz w:val="20"/>
          <w:szCs w:val="20"/>
        </w:rPr>
      </w:pPr>
      <w:r w:rsidRPr="00601C96">
        <w:rPr>
          <w:sz w:val="20"/>
          <w:szCs w:val="20"/>
        </w:rPr>
        <w:t>AMPC</w:t>
      </w:r>
      <w:r w:rsidR="002D68E5">
        <w:rPr>
          <w:sz w:val="20"/>
          <w:szCs w:val="20"/>
        </w:rPr>
        <w:t xml:space="preserve"> </w:t>
      </w:r>
      <w:r w:rsidRPr="00601C96">
        <w:rPr>
          <w:sz w:val="20"/>
          <w:szCs w:val="20"/>
        </w:rPr>
        <w:t>2019</w:t>
      </w:r>
      <w:r w:rsidR="00A968C3">
        <w:rPr>
          <w:sz w:val="20"/>
          <w:szCs w:val="20"/>
        </w:rPr>
        <w:t xml:space="preserve">, </w:t>
      </w:r>
      <w:r w:rsidRPr="00601C96">
        <w:rPr>
          <w:sz w:val="20"/>
          <w:szCs w:val="20"/>
        </w:rPr>
        <w:t xml:space="preserve"> Emission Reduction Pathways and Opportunities for the Australian red meat processing sector. Prepared for the Australian Meat Processors Corporation by Energetics. </w:t>
      </w:r>
      <w:hyperlink r:id="rId47" w:history="1">
        <w:r w:rsidRPr="00432264">
          <w:rPr>
            <w:rStyle w:val="Hyperlink"/>
            <w:sz w:val="20"/>
            <w:szCs w:val="20"/>
          </w:rPr>
          <w:t xml:space="preserve">www.ampc.com.au/uploads/cgblog/id442/2019-1059_FINAL_Emissions_Policies_and_Pathways_Report_formatted_2623916_1.pdf.  </w:t>
        </w:r>
      </w:hyperlink>
      <w:r w:rsidRPr="00601C96">
        <w:rPr>
          <w:i/>
          <w:iCs/>
          <w:sz w:val="20"/>
          <w:szCs w:val="20"/>
        </w:rPr>
        <w:t>Accessed July 2021</w:t>
      </w:r>
    </w:p>
    <w:p w14:paraId="075EFA53" w14:textId="77777777" w:rsidR="00FA1F31" w:rsidRPr="00601C96" w:rsidRDefault="00FA1F31" w:rsidP="00FA1F31">
      <w:pPr>
        <w:pStyle w:val="ListParagraph"/>
        <w:spacing w:after="0" w:line="240" w:lineRule="auto"/>
        <w:rPr>
          <w:i/>
          <w:iCs/>
          <w:sz w:val="20"/>
          <w:szCs w:val="20"/>
        </w:rPr>
      </w:pPr>
    </w:p>
    <w:p w14:paraId="61B5E451" w14:textId="0CCCE0B7" w:rsidR="00FA1F31" w:rsidRPr="00601C96" w:rsidRDefault="00FA1F31" w:rsidP="00FA1F31">
      <w:pPr>
        <w:spacing w:after="0" w:line="240" w:lineRule="auto"/>
        <w:rPr>
          <w:i/>
          <w:iCs/>
          <w:sz w:val="20"/>
          <w:szCs w:val="20"/>
        </w:rPr>
      </w:pPr>
      <w:r w:rsidRPr="00601C96">
        <w:rPr>
          <w:sz w:val="20"/>
          <w:szCs w:val="20"/>
        </w:rPr>
        <w:t>CER</w:t>
      </w:r>
      <w:r w:rsidR="00A968C3">
        <w:rPr>
          <w:sz w:val="20"/>
          <w:szCs w:val="20"/>
        </w:rPr>
        <w:t xml:space="preserve"> </w:t>
      </w:r>
      <w:r w:rsidR="002D68E5">
        <w:rPr>
          <w:sz w:val="20"/>
          <w:szCs w:val="20"/>
        </w:rPr>
        <w:t>2021</w:t>
      </w:r>
      <w:r w:rsidR="00A968C3">
        <w:rPr>
          <w:sz w:val="20"/>
          <w:szCs w:val="20"/>
        </w:rPr>
        <w:t xml:space="preserve">, </w:t>
      </w:r>
      <w:r w:rsidRPr="00601C96">
        <w:rPr>
          <w:sz w:val="20"/>
          <w:szCs w:val="20"/>
        </w:rPr>
        <w:t xml:space="preserve"> Clean Energy Regulator.</w:t>
      </w:r>
      <w:hyperlink r:id="rId48" w:history="1">
        <w:r w:rsidRPr="00601C96">
          <w:rPr>
            <w:rStyle w:val="Hyperlink"/>
            <w:sz w:val="20"/>
            <w:szCs w:val="20"/>
          </w:rPr>
          <w:t>http://www.cleanenergyregulator.gov.au/ERF/Pages/default.aspx</w:t>
        </w:r>
      </w:hyperlink>
      <w:r w:rsidRPr="00601C96">
        <w:rPr>
          <w:sz w:val="20"/>
          <w:szCs w:val="20"/>
        </w:rPr>
        <w:t xml:space="preserve"> </w:t>
      </w:r>
      <w:r w:rsidRPr="00601C96">
        <w:rPr>
          <w:i/>
          <w:iCs/>
          <w:sz w:val="20"/>
          <w:szCs w:val="20"/>
        </w:rPr>
        <w:t>Accessed September 2021</w:t>
      </w:r>
    </w:p>
    <w:p w14:paraId="1A04F109" w14:textId="77777777" w:rsidR="00FA1F31" w:rsidRPr="00601C96" w:rsidRDefault="00FA1F31" w:rsidP="00FA1F31">
      <w:pPr>
        <w:pStyle w:val="ListParagraph"/>
        <w:spacing w:after="0" w:line="240" w:lineRule="auto"/>
        <w:rPr>
          <w:sz w:val="20"/>
          <w:szCs w:val="20"/>
        </w:rPr>
      </w:pPr>
    </w:p>
    <w:p w14:paraId="4A9FB88A" w14:textId="07F78A99" w:rsidR="00FA1F31" w:rsidRPr="00DD2DE7" w:rsidRDefault="00FA1F31" w:rsidP="00FA1F31">
      <w:pPr>
        <w:spacing w:after="0" w:line="240" w:lineRule="auto"/>
        <w:rPr>
          <w:i/>
          <w:iCs/>
          <w:sz w:val="20"/>
          <w:szCs w:val="20"/>
        </w:rPr>
      </w:pPr>
      <w:r w:rsidRPr="00601C96">
        <w:rPr>
          <w:sz w:val="20"/>
          <w:szCs w:val="20"/>
        </w:rPr>
        <w:t>Climate Active</w:t>
      </w:r>
      <w:r w:rsidR="00A968C3">
        <w:rPr>
          <w:sz w:val="20"/>
          <w:szCs w:val="20"/>
        </w:rPr>
        <w:t xml:space="preserve"> </w:t>
      </w:r>
      <w:r w:rsidR="002D68E5">
        <w:rPr>
          <w:sz w:val="20"/>
          <w:szCs w:val="20"/>
        </w:rPr>
        <w:t xml:space="preserve"> </w:t>
      </w:r>
      <w:r w:rsidRPr="00601C96">
        <w:rPr>
          <w:sz w:val="20"/>
          <w:szCs w:val="20"/>
        </w:rPr>
        <w:t>2021</w:t>
      </w:r>
      <w:r w:rsidRPr="00601C96">
        <w:rPr>
          <w:sz w:val="20"/>
          <w:szCs w:val="20"/>
          <w:vertAlign w:val="superscript"/>
        </w:rPr>
        <w:t>1</w:t>
      </w:r>
      <w:r w:rsidR="00A968C3">
        <w:rPr>
          <w:sz w:val="20"/>
          <w:szCs w:val="20"/>
        </w:rPr>
        <w:t>,</w:t>
      </w:r>
      <w:r w:rsidRPr="00601C96">
        <w:rPr>
          <w:sz w:val="20"/>
          <w:szCs w:val="20"/>
        </w:rPr>
        <w:t xml:space="preserve"> </w:t>
      </w:r>
      <w:hyperlink r:id="rId49" w:history="1">
        <w:r w:rsidRPr="00601C96">
          <w:rPr>
            <w:rStyle w:val="Hyperlink"/>
            <w:sz w:val="20"/>
            <w:szCs w:val="20"/>
          </w:rPr>
          <w:t>https://www.climateactive.org.au/buy-climate-active/certified-members/five-founders-beef</w:t>
        </w:r>
      </w:hyperlink>
      <w:r>
        <w:rPr>
          <w:rStyle w:val="Hyperlink"/>
          <w:sz w:val="20"/>
          <w:szCs w:val="20"/>
        </w:rPr>
        <w:t xml:space="preserve">. </w:t>
      </w:r>
      <w:r w:rsidRPr="00601C96">
        <w:rPr>
          <w:i/>
          <w:iCs/>
          <w:sz w:val="20"/>
          <w:szCs w:val="20"/>
          <w:lang w:val="en-US"/>
        </w:rPr>
        <w:t>Accessed 2021</w:t>
      </w:r>
    </w:p>
    <w:p w14:paraId="6C7770E7" w14:textId="77777777" w:rsidR="00FA1F31" w:rsidRPr="00601C96" w:rsidRDefault="00FA1F31" w:rsidP="00FA1F31">
      <w:pPr>
        <w:pStyle w:val="ListParagraph"/>
        <w:spacing w:after="0" w:line="240" w:lineRule="auto"/>
        <w:rPr>
          <w:sz w:val="20"/>
          <w:szCs w:val="20"/>
        </w:rPr>
      </w:pPr>
    </w:p>
    <w:p w14:paraId="3D3347E7" w14:textId="5665059D" w:rsidR="00FA1F31" w:rsidRDefault="00FA1F31" w:rsidP="00FA1F31">
      <w:pPr>
        <w:spacing w:after="0" w:line="240" w:lineRule="auto"/>
        <w:rPr>
          <w:sz w:val="20"/>
          <w:szCs w:val="20"/>
        </w:rPr>
      </w:pPr>
      <w:r w:rsidRPr="00601C96">
        <w:rPr>
          <w:sz w:val="20"/>
          <w:szCs w:val="20"/>
        </w:rPr>
        <w:t>Climate Active</w:t>
      </w:r>
      <w:r w:rsidR="002D68E5">
        <w:rPr>
          <w:sz w:val="20"/>
          <w:szCs w:val="20"/>
        </w:rPr>
        <w:t xml:space="preserve">, </w:t>
      </w:r>
      <w:r w:rsidRPr="00601C96">
        <w:rPr>
          <w:sz w:val="20"/>
          <w:szCs w:val="20"/>
        </w:rPr>
        <w:t>2021</w:t>
      </w:r>
      <w:r w:rsidRPr="00601C96">
        <w:rPr>
          <w:sz w:val="20"/>
          <w:szCs w:val="20"/>
          <w:vertAlign w:val="superscript"/>
        </w:rPr>
        <w:t>2</w:t>
      </w:r>
      <w:r w:rsidR="002D68E5">
        <w:rPr>
          <w:sz w:val="20"/>
          <w:szCs w:val="20"/>
          <w:vertAlign w:val="superscript"/>
        </w:rPr>
        <w:t xml:space="preserve"> </w:t>
      </w:r>
      <w:r w:rsidR="00A968C3">
        <w:rPr>
          <w:sz w:val="20"/>
          <w:szCs w:val="20"/>
        </w:rPr>
        <w:t>,</w:t>
      </w:r>
      <w:hyperlink r:id="rId50" w:history="1">
        <w:r w:rsidRPr="00432264">
          <w:rPr>
            <w:rStyle w:val="Hyperlink"/>
            <w:sz w:val="20"/>
            <w:szCs w:val="20"/>
          </w:rPr>
          <w:t>https://www.climateactive.org.au/what-climate-active</w:t>
        </w:r>
      </w:hyperlink>
    </w:p>
    <w:p w14:paraId="735A37AA" w14:textId="77777777" w:rsidR="00FA1F31" w:rsidRPr="00601C96" w:rsidRDefault="00FA1F31" w:rsidP="00FA1F31">
      <w:pPr>
        <w:spacing w:after="0" w:line="240" w:lineRule="auto"/>
        <w:rPr>
          <w:i/>
          <w:iCs/>
          <w:sz w:val="20"/>
          <w:szCs w:val="20"/>
        </w:rPr>
      </w:pPr>
      <w:r w:rsidRPr="00DD2DE7">
        <w:rPr>
          <w:i/>
          <w:iCs/>
          <w:sz w:val="20"/>
          <w:szCs w:val="20"/>
        </w:rPr>
        <w:t>Accessed September 2021</w:t>
      </w:r>
    </w:p>
    <w:p w14:paraId="67167149" w14:textId="77777777" w:rsidR="00FA1F31" w:rsidRPr="00601C96" w:rsidRDefault="00FA1F31" w:rsidP="00FA1F31">
      <w:pPr>
        <w:pStyle w:val="ListParagraph"/>
        <w:spacing w:after="0" w:line="240" w:lineRule="auto"/>
        <w:rPr>
          <w:i/>
          <w:iCs/>
          <w:sz w:val="20"/>
          <w:szCs w:val="20"/>
        </w:rPr>
      </w:pPr>
    </w:p>
    <w:p w14:paraId="6304F986" w14:textId="3B57E81D" w:rsidR="00FA1F31" w:rsidRPr="00601C96" w:rsidRDefault="00FA1F31" w:rsidP="00FA1F31">
      <w:pPr>
        <w:spacing w:after="0" w:line="240" w:lineRule="auto"/>
        <w:rPr>
          <w:i/>
          <w:iCs/>
          <w:sz w:val="20"/>
          <w:szCs w:val="20"/>
          <w:lang w:val="en-US"/>
        </w:rPr>
      </w:pPr>
      <w:r w:rsidRPr="00601C96">
        <w:rPr>
          <w:sz w:val="20"/>
          <w:szCs w:val="20"/>
          <w:lang w:val="en-US"/>
        </w:rPr>
        <w:t>Climate Tracker</w:t>
      </w:r>
      <w:r w:rsidR="002D68E5">
        <w:rPr>
          <w:sz w:val="20"/>
          <w:szCs w:val="20"/>
          <w:lang w:val="en-US"/>
        </w:rPr>
        <w:t xml:space="preserve">, </w:t>
      </w:r>
      <w:r w:rsidRPr="00601C96">
        <w:rPr>
          <w:sz w:val="20"/>
          <w:szCs w:val="20"/>
          <w:lang w:val="en-US"/>
        </w:rPr>
        <w:t>20</w:t>
      </w:r>
      <w:r w:rsidR="002D68E5">
        <w:rPr>
          <w:sz w:val="20"/>
          <w:szCs w:val="20"/>
          <w:lang w:val="en-US"/>
        </w:rPr>
        <w:t>21</w:t>
      </w:r>
      <w:r w:rsidRPr="00601C96">
        <w:rPr>
          <w:sz w:val="20"/>
          <w:szCs w:val="20"/>
          <w:lang w:val="en-US"/>
        </w:rPr>
        <w:t xml:space="preserve">. </w:t>
      </w:r>
      <w:hyperlink r:id="rId51" w:history="1">
        <w:r w:rsidRPr="00432264">
          <w:rPr>
            <w:rStyle w:val="Hyperlink"/>
            <w:sz w:val="20"/>
            <w:szCs w:val="20"/>
            <w:lang w:val="en-US"/>
          </w:rPr>
          <w:t>https://climateactiontracker.org/</w:t>
        </w:r>
      </w:hyperlink>
      <w:r w:rsidRPr="00601C96">
        <w:rPr>
          <w:sz w:val="20"/>
          <w:szCs w:val="20"/>
          <w:lang w:val="en-US"/>
        </w:rPr>
        <w:t xml:space="preserve"> </w:t>
      </w:r>
      <w:r w:rsidRPr="00601C96">
        <w:rPr>
          <w:i/>
          <w:iCs/>
          <w:sz w:val="20"/>
          <w:szCs w:val="20"/>
          <w:lang w:val="en-US"/>
        </w:rPr>
        <w:t>Accessed 2021</w:t>
      </w:r>
    </w:p>
    <w:p w14:paraId="50E57B1F" w14:textId="77777777" w:rsidR="00FA1F31" w:rsidRPr="00601C96" w:rsidRDefault="00FA1F31" w:rsidP="00FA1F31">
      <w:pPr>
        <w:pStyle w:val="ListParagraph"/>
        <w:spacing w:after="0" w:line="240" w:lineRule="auto"/>
        <w:rPr>
          <w:i/>
          <w:iCs/>
          <w:sz w:val="20"/>
          <w:szCs w:val="20"/>
          <w:lang w:val="en-US"/>
        </w:rPr>
      </w:pPr>
    </w:p>
    <w:p w14:paraId="0EB12E41" w14:textId="56AC61F8" w:rsidR="00FA1F31" w:rsidRDefault="00FA1F31" w:rsidP="00FA1F31">
      <w:pPr>
        <w:spacing w:after="0" w:line="240" w:lineRule="auto"/>
        <w:rPr>
          <w:rFonts w:eastAsiaTheme="minorEastAsia"/>
          <w:sz w:val="20"/>
          <w:szCs w:val="20"/>
        </w:rPr>
      </w:pPr>
      <w:r w:rsidRPr="00601C96">
        <w:rPr>
          <w:rFonts w:eastAsiaTheme="minorEastAsia"/>
          <w:sz w:val="20"/>
          <w:szCs w:val="20"/>
        </w:rPr>
        <w:t>Dept. of Industry</w:t>
      </w:r>
      <w:r w:rsidR="002D68E5">
        <w:rPr>
          <w:rFonts w:eastAsiaTheme="minorEastAsia"/>
          <w:sz w:val="20"/>
          <w:szCs w:val="20"/>
        </w:rPr>
        <w:t xml:space="preserve"> 2021</w:t>
      </w:r>
      <w:r w:rsidR="00A968C3">
        <w:rPr>
          <w:rFonts w:eastAsiaTheme="minorEastAsia"/>
          <w:sz w:val="20"/>
          <w:szCs w:val="20"/>
        </w:rPr>
        <w:t xml:space="preserve">, </w:t>
      </w:r>
      <w:r w:rsidRPr="00601C96">
        <w:rPr>
          <w:rFonts w:eastAsiaTheme="minorEastAsia"/>
          <w:sz w:val="20"/>
          <w:szCs w:val="20"/>
        </w:rPr>
        <w:t xml:space="preserve"> Department of Industry, Science, Energy and Resources. ERF method development priorities for 2022. </w:t>
      </w:r>
      <w:hyperlink r:id="rId52" w:history="1">
        <w:r w:rsidRPr="00432264">
          <w:rPr>
            <w:rStyle w:val="Hyperlink"/>
            <w:rFonts w:eastAsiaTheme="minorEastAsia"/>
            <w:sz w:val="20"/>
            <w:szCs w:val="20"/>
          </w:rPr>
          <w:t xml:space="preserve">https://consult.industry.gov.au/erf-method-development-priorities-for-2022.   </w:t>
        </w:r>
      </w:hyperlink>
    </w:p>
    <w:p w14:paraId="3E482CDC" w14:textId="77777777" w:rsidR="00FA1F31" w:rsidRPr="00DD2DE7" w:rsidRDefault="00FA1F31" w:rsidP="00FA1F31">
      <w:pPr>
        <w:spacing w:after="0" w:line="240" w:lineRule="auto"/>
        <w:rPr>
          <w:rFonts w:eastAsiaTheme="minorEastAsia"/>
          <w:i/>
          <w:iCs/>
          <w:sz w:val="20"/>
          <w:szCs w:val="20"/>
        </w:rPr>
      </w:pPr>
      <w:r>
        <w:rPr>
          <w:rFonts w:eastAsiaTheme="minorEastAsia"/>
          <w:i/>
          <w:iCs/>
          <w:sz w:val="20"/>
          <w:szCs w:val="20"/>
        </w:rPr>
        <w:t>Accessed 2021</w:t>
      </w:r>
    </w:p>
    <w:p w14:paraId="71EDC511" w14:textId="77777777" w:rsidR="00FA1F31" w:rsidRPr="00DD2DE7" w:rsidRDefault="00FA1F31" w:rsidP="00FA1F31">
      <w:pPr>
        <w:spacing w:after="0" w:line="240" w:lineRule="auto"/>
        <w:rPr>
          <w:rFonts w:eastAsiaTheme="minorEastAsia"/>
          <w:i/>
          <w:iCs/>
          <w:sz w:val="20"/>
          <w:szCs w:val="20"/>
        </w:rPr>
      </w:pPr>
    </w:p>
    <w:p w14:paraId="49AE1283" w14:textId="676D5195" w:rsidR="00FA1F31" w:rsidRPr="00DD2DE7" w:rsidRDefault="00FA1F31" w:rsidP="00FA1F31">
      <w:pPr>
        <w:spacing w:after="0" w:line="240" w:lineRule="auto"/>
        <w:rPr>
          <w:color w:val="0563C1" w:themeColor="hyperlink"/>
          <w:sz w:val="20"/>
          <w:szCs w:val="20"/>
          <w:u w:val="single"/>
          <w:lang w:val="en-US"/>
        </w:rPr>
      </w:pPr>
      <w:r w:rsidRPr="00601C96">
        <w:rPr>
          <w:sz w:val="20"/>
          <w:szCs w:val="20"/>
          <w:lang w:val="en-US"/>
        </w:rPr>
        <w:t>Dept. Energy</w:t>
      </w:r>
      <w:r w:rsidR="00A968C3">
        <w:rPr>
          <w:sz w:val="20"/>
          <w:szCs w:val="20"/>
          <w:lang w:val="en-US"/>
        </w:rPr>
        <w:t xml:space="preserve"> </w:t>
      </w:r>
      <w:r w:rsidR="002D68E5">
        <w:rPr>
          <w:sz w:val="20"/>
          <w:szCs w:val="20"/>
          <w:lang w:val="en-US"/>
        </w:rPr>
        <w:t xml:space="preserve"> </w:t>
      </w:r>
      <w:r w:rsidR="00A968C3">
        <w:rPr>
          <w:sz w:val="20"/>
          <w:szCs w:val="20"/>
          <w:lang w:val="en-US"/>
        </w:rPr>
        <w:t>2021,</w:t>
      </w:r>
      <w:r w:rsidRPr="00601C96">
        <w:rPr>
          <w:sz w:val="20"/>
          <w:szCs w:val="20"/>
          <w:lang w:val="en-US"/>
        </w:rPr>
        <w:t xml:space="preserve"> </w:t>
      </w:r>
      <w:r w:rsidRPr="00601C96">
        <w:rPr>
          <w:i/>
          <w:iCs/>
          <w:sz w:val="20"/>
          <w:szCs w:val="20"/>
          <w:lang w:val="en-US"/>
        </w:rPr>
        <w:t>New ERF Methods and 2022 priorities announced</w:t>
      </w:r>
      <w:r w:rsidRPr="00601C96">
        <w:rPr>
          <w:sz w:val="20"/>
          <w:szCs w:val="20"/>
          <w:lang w:val="en-US"/>
        </w:rPr>
        <w:t xml:space="preserve">. Media release. Minister for Energy and Emissions Reduction, Department of Energy and Emissions Reduction.  1 October 2021. </w:t>
      </w:r>
      <w:hyperlink r:id="rId53" w:history="1">
        <w:r w:rsidRPr="00601C96">
          <w:rPr>
            <w:rStyle w:val="Hyperlink"/>
            <w:sz w:val="20"/>
            <w:szCs w:val="20"/>
            <w:lang w:val="en-US"/>
          </w:rPr>
          <w:t>https://www.minister.industry.gov.au/ministers/taylor/media-releases/new-erf-method-and-2022-priorities-announced</w:t>
        </w:r>
      </w:hyperlink>
    </w:p>
    <w:p w14:paraId="360916D0" w14:textId="77777777" w:rsidR="00FA1F31" w:rsidRDefault="00FA1F31" w:rsidP="00FA1F31">
      <w:pPr>
        <w:spacing w:after="0" w:line="240" w:lineRule="auto"/>
        <w:rPr>
          <w:i/>
          <w:iCs/>
          <w:sz w:val="20"/>
          <w:szCs w:val="20"/>
          <w:lang w:val="en-US"/>
        </w:rPr>
      </w:pPr>
      <w:r>
        <w:rPr>
          <w:i/>
          <w:iCs/>
          <w:sz w:val="20"/>
          <w:szCs w:val="20"/>
          <w:lang w:val="en-US"/>
        </w:rPr>
        <w:t>Accessed July 2021</w:t>
      </w:r>
    </w:p>
    <w:p w14:paraId="15BD00A2" w14:textId="77777777" w:rsidR="00FA1F31" w:rsidRPr="00DD2DE7" w:rsidRDefault="00FA1F31" w:rsidP="00FA1F31">
      <w:pPr>
        <w:spacing w:after="0" w:line="240" w:lineRule="auto"/>
        <w:rPr>
          <w:i/>
          <w:iCs/>
          <w:sz w:val="20"/>
          <w:szCs w:val="20"/>
          <w:lang w:val="en-US"/>
        </w:rPr>
      </w:pPr>
    </w:p>
    <w:p w14:paraId="0ECDFCE1" w14:textId="6CAE505B" w:rsidR="00FA1F31" w:rsidRPr="00601C96" w:rsidRDefault="00FA1F31" w:rsidP="00FA1F31">
      <w:pPr>
        <w:spacing w:after="0" w:line="240" w:lineRule="auto"/>
        <w:rPr>
          <w:rStyle w:val="Hyperlink"/>
          <w:sz w:val="20"/>
          <w:szCs w:val="20"/>
        </w:rPr>
      </w:pPr>
      <w:r w:rsidRPr="00601C96">
        <w:rPr>
          <w:sz w:val="20"/>
          <w:szCs w:val="20"/>
          <w:lang w:val="de-DE"/>
        </w:rPr>
        <w:t>Dunn J, Wiedemann S</w:t>
      </w:r>
      <w:r w:rsidR="00A968C3">
        <w:rPr>
          <w:sz w:val="20"/>
          <w:szCs w:val="20"/>
          <w:lang w:val="de-DE"/>
        </w:rPr>
        <w:t>, Eckard R</w:t>
      </w:r>
      <w:r w:rsidR="002D68E5">
        <w:rPr>
          <w:sz w:val="20"/>
          <w:szCs w:val="20"/>
          <w:lang w:val="de-DE"/>
        </w:rPr>
        <w:t>, 2020</w:t>
      </w:r>
      <w:r w:rsidR="00A968C3">
        <w:rPr>
          <w:sz w:val="20"/>
          <w:szCs w:val="20"/>
          <w:lang w:val="de-DE"/>
        </w:rPr>
        <w:t xml:space="preserve">, </w:t>
      </w:r>
      <w:r w:rsidRPr="00601C96">
        <w:rPr>
          <w:sz w:val="20"/>
          <w:szCs w:val="20"/>
          <w:lang w:val="de-DE"/>
        </w:rPr>
        <w:t xml:space="preserve"> </w:t>
      </w:r>
      <w:r w:rsidRPr="00B939FA">
        <w:rPr>
          <w:i/>
          <w:iCs/>
          <w:sz w:val="20"/>
          <w:szCs w:val="20"/>
        </w:rPr>
        <w:t>A Greenhouse Accounting Framework for Beef and Sheep properties based on the Australian National Greenhouse Gas Inventory methodology</w:t>
      </w:r>
      <w:r w:rsidRPr="00601C96">
        <w:rPr>
          <w:sz w:val="20"/>
          <w:szCs w:val="20"/>
        </w:rPr>
        <w:t xml:space="preserve">. Beta version revised 2020 by Integrity Ag and Environment for MLA </w:t>
      </w:r>
      <w:hyperlink r:id="rId54" w:history="1">
        <w:r w:rsidRPr="00601C96">
          <w:rPr>
            <w:rStyle w:val="Hyperlink"/>
            <w:sz w:val="20"/>
            <w:szCs w:val="20"/>
          </w:rPr>
          <w:t>http://piccc.org.au/Tools</w:t>
        </w:r>
      </w:hyperlink>
    </w:p>
    <w:p w14:paraId="0F6AF5CB" w14:textId="77777777" w:rsidR="00FA1F31" w:rsidRDefault="00FA1F31" w:rsidP="00FA1F31">
      <w:pPr>
        <w:pStyle w:val="ListParagraph"/>
        <w:spacing w:after="0" w:line="240" w:lineRule="auto"/>
        <w:rPr>
          <w:sz w:val="20"/>
          <w:szCs w:val="20"/>
        </w:rPr>
      </w:pPr>
    </w:p>
    <w:p w14:paraId="15642D1D" w14:textId="33FBBDA9" w:rsidR="00FA1F31" w:rsidRPr="00601C96" w:rsidRDefault="00FA1F31" w:rsidP="00FA1F31">
      <w:pPr>
        <w:spacing w:after="0" w:line="240" w:lineRule="auto"/>
        <w:rPr>
          <w:rFonts w:eastAsiaTheme="minorEastAsia"/>
          <w:sz w:val="20"/>
          <w:szCs w:val="20"/>
        </w:rPr>
      </w:pPr>
      <w:r w:rsidRPr="00601C96">
        <w:rPr>
          <w:rFonts w:eastAsiaTheme="minorEastAsia"/>
          <w:sz w:val="20"/>
          <w:szCs w:val="20"/>
        </w:rPr>
        <w:t>ECIU</w:t>
      </w:r>
      <w:r w:rsidR="002D68E5">
        <w:rPr>
          <w:rFonts w:eastAsiaTheme="minorEastAsia"/>
          <w:sz w:val="20"/>
          <w:szCs w:val="20"/>
        </w:rPr>
        <w:t xml:space="preserve"> </w:t>
      </w:r>
      <w:r w:rsidRPr="00601C96">
        <w:rPr>
          <w:rFonts w:eastAsiaTheme="minorEastAsia"/>
          <w:sz w:val="20"/>
          <w:szCs w:val="20"/>
        </w:rPr>
        <w:t>2021</w:t>
      </w:r>
      <w:r w:rsidR="00A968C3">
        <w:rPr>
          <w:rFonts w:eastAsiaTheme="minorEastAsia"/>
          <w:sz w:val="20"/>
          <w:szCs w:val="20"/>
        </w:rPr>
        <w:t xml:space="preserve">, </w:t>
      </w:r>
      <w:r w:rsidRPr="00601C96">
        <w:rPr>
          <w:rFonts w:eastAsiaTheme="minorEastAsia"/>
          <w:sz w:val="20"/>
          <w:szCs w:val="20"/>
        </w:rPr>
        <w:t xml:space="preserve"> Energy and Climate Intelligence Unit. Net Zero Tracker. </w:t>
      </w:r>
      <w:hyperlink r:id="rId55" w:history="1">
        <w:r w:rsidRPr="00601C96">
          <w:rPr>
            <w:rStyle w:val="Hyperlink"/>
            <w:rFonts w:eastAsiaTheme="minorEastAsia"/>
            <w:sz w:val="20"/>
            <w:szCs w:val="20"/>
          </w:rPr>
          <w:t>https://eciu.net/netzerotracker/map</w:t>
        </w:r>
      </w:hyperlink>
    </w:p>
    <w:p w14:paraId="3F236623" w14:textId="77777777" w:rsidR="00FA1F31" w:rsidRPr="00601C96" w:rsidRDefault="00FA1F31" w:rsidP="00FA1F31">
      <w:pPr>
        <w:spacing w:after="0" w:line="240" w:lineRule="auto"/>
        <w:rPr>
          <w:rFonts w:eastAsiaTheme="minorEastAsia"/>
          <w:i/>
          <w:iCs/>
          <w:sz w:val="20"/>
          <w:szCs w:val="20"/>
        </w:rPr>
      </w:pPr>
      <w:r w:rsidRPr="7AE0751B">
        <w:rPr>
          <w:rFonts w:eastAsiaTheme="minorEastAsia"/>
          <w:i/>
          <w:iCs/>
          <w:sz w:val="20"/>
          <w:szCs w:val="20"/>
        </w:rPr>
        <w:t>Accessed July 2021</w:t>
      </w:r>
    </w:p>
    <w:p w14:paraId="4C1213D2" w14:textId="77777777" w:rsidR="00FA1F31" w:rsidRDefault="00FA1F31" w:rsidP="00FA1F31">
      <w:pPr>
        <w:spacing w:after="0" w:line="240" w:lineRule="auto"/>
        <w:rPr>
          <w:rFonts w:eastAsiaTheme="minorEastAsia"/>
          <w:i/>
          <w:iCs/>
          <w:sz w:val="20"/>
          <w:szCs w:val="20"/>
        </w:rPr>
      </w:pPr>
    </w:p>
    <w:p w14:paraId="6C8F4796" w14:textId="31C49AB7" w:rsidR="00FA1F31" w:rsidRDefault="00FA1F31" w:rsidP="00FA1F31">
      <w:pPr>
        <w:spacing w:after="0" w:line="240" w:lineRule="auto"/>
        <w:rPr>
          <w:rFonts w:ascii="Calibri" w:eastAsia="Calibri" w:hAnsi="Calibri" w:cs="Calibri"/>
          <w:sz w:val="20"/>
          <w:szCs w:val="20"/>
        </w:rPr>
      </w:pPr>
      <w:r w:rsidRPr="7AE0751B">
        <w:rPr>
          <w:rFonts w:eastAsiaTheme="minorEastAsia"/>
          <w:sz w:val="20"/>
          <w:szCs w:val="20"/>
        </w:rPr>
        <w:t>Eco-Score</w:t>
      </w:r>
      <w:r w:rsidR="002D68E5">
        <w:rPr>
          <w:rFonts w:eastAsiaTheme="minorEastAsia"/>
          <w:sz w:val="20"/>
          <w:szCs w:val="20"/>
        </w:rPr>
        <w:t xml:space="preserve"> </w:t>
      </w:r>
      <w:r w:rsidR="00A968C3">
        <w:rPr>
          <w:rFonts w:eastAsiaTheme="minorEastAsia"/>
          <w:sz w:val="20"/>
          <w:szCs w:val="20"/>
        </w:rPr>
        <w:t xml:space="preserve"> </w:t>
      </w:r>
      <w:r w:rsidRPr="7AE0751B">
        <w:rPr>
          <w:rFonts w:eastAsiaTheme="minorEastAsia"/>
          <w:sz w:val="20"/>
          <w:szCs w:val="20"/>
        </w:rPr>
        <w:t>2021</w:t>
      </w:r>
      <w:r w:rsidR="00A968C3">
        <w:rPr>
          <w:rFonts w:eastAsiaTheme="minorEastAsia"/>
          <w:sz w:val="20"/>
          <w:szCs w:val="20"/>
        </w:rPr>
        <w:t>,</w:t>
      </w:r>
      <w:r w:rsidR="002D68E5">
        <w:rPr>
          <w:rFonts w:eastAsiaTheme="minorEastAsia"/>
          <w:sz w:val="20"/>
          <w:szCs w:val="20"/>
        </w:rPr>
        <w:t xml:space="preserve"> </w:t>
      </w:r>
      <w:r w:rsidRPr="7AE0751B">
        <w:rPr>
          <w:rFonts w:eastAsiaTheme="minorEastAsia"/>
          <w:sz w:val="20"/>
          <w:szCs w:val="20"/>
        </w:rPr>
        <w:t xml:space="preserve"> </w:t>
      </w:r>
      <w:hyperlink r:id="rId56">
        <w:r w:rsidRPr="7AE0751B">
          <w:rPr>
            <w:rStyle w:val="Hyperlink"/>
            <w:rFonts w:ascii="Calibri" w:eastAsia="Calibri" w:hAnsi="Calibri" w:cs="Calibri"/>
            <w:sz w:val="20"/>
            <w:szCs w:val="20"/>
          </w:rPr>
          <w:t>Présentation - Eco-score (score-environnemental.com)</w:t>
        </w:r>
      </w:hyperlink>
      <w:r w:rsidRPr="7AE0751B">
        <w:rPr>
          <w:rFonts w:ascii="Calibri" w:eastAsia="Calibri" w:hAnsi="Calibri" w:cs="Calibri"/>
          <w:sz w:val="20"/>
          <w:szCs w:val="20"/>
        </w:rPr>
        <w:t xml:space="preserve"> </w:t>
      </w:r>
      <w:r w:rsidRPr="7AE0751B">
        <w:rPr>
          <w:rFonts w:ascii="Calibri" w:eastAsia="Calibri" w:hAnsi="Calibri" w:cs="Calibri"/>
          <w:i/>
          <w:iCs/>
          <w:sz w:val="20"/>
          <w:szCs w:val="20"/>
        </w:rPr>
        <w:t>Accessed October 2021</w:t>
      </w:r>
    </w:p>
    <w:p w14:paraId="4FBA3FB3" w14:textId="77777777" w:rsidR="00FA1F31" w:rsidRPr="00000D8B" w:rsidRDefault="00FA1F31" w:rsidP="00FA1F31">
      <w:pPr>
        <w:spacing w:after="0" w:line="240" w:lineRule="auto"/>
        <w:rPr>
          <w:sz w:val="20"/>
          <w:szCs w:val="20"/>
        </w:rPr>
      </w:pPr>
    </w:p>
    <w:p w14:paraId="372A99C2" w14:textId="33E41B3C" w:rsidR="00FA1F31" w:rsidRPr="00601C96" w:rsidRDefault="00FA1F31" w:rsidP="00FA1F31">
      <w:pPr>
        <w:spacing w:after="0" w:line="240" w:lineRule="auto"/>
        <w:rPr>
          <w:rFonts w:eastAsiaTheme="minorEastAsia"/>
          <w:sz w:val="20"/>
          <w:szCs w:val="20"/>
        </w:rPr>
      </w:pPr>
      <w:r w:rsidRPr="00601C96">
        <w:rPr>
          <w:rFonts w:eastAsiaTheme="minorEastAsia"/>
          <w:sz w:val="20"/>
          <w:szCs w:val="20"/>
        </w:rPr>
        <w:t>European Union</w:t>
      </w:r>
      <w:r w:rsidR="002D68E5">
        <w:rPr>
          <w:rFonts w:eastAsiaTheme="minorEastAsia"/>
          <w:sz w:val="20"/>
          <w:szCs w:val="20"/>
        </w:rPr>
        <w:t xml:space="preserve"> </w:t>
      </w:r>
      <w:r w:rsidRPr="00601C96">
        <w:rPr>
          <w:rFonts w:eastAsiaTheme="minorEastAsia"/>
          <w:sz w:val="20"/>
          <w:szCs w:val="20"/>
        </w:rPr>
        <w:t>2021</w:t>
      </w:r>
      <w:r w:rsidR="00A968C3">
        <w:rPr>
          <w:rFonts w:eastAsiaTheme="minorEastAsia"/>
          <w:sz w:val="20"/>
          <w:szCs w:val="20"/>
        </w:rPr>
        <w:t xml:space="preserve">, </w:t>
      </w:r>
      <w:r w:rsidRPr="00601C96">
        <w:rPr>
          <w:rFonts w:eastAsiaTheme="minorEastAsia"/>
          <w:sz w:val="20"/>
          <w:szCs w:val="20"/>
        </w:rPr>
        <w:t xml:space="preserve"> Proposal for a R</w:t>
      </w:r>
      <w:r w:rsidR="00494BB9">
        <w:rPr>
          <w:rFonts w:eastAsiaTheme="minorEastAsia"/>
          <w:sz w:val="20"/>
          <w:szCs w:val="20"/>
        </w:rPr>
        <w:t xml:space="preserve">egulation of the </w:t>
      </w:r>
      <w:r w:rsidRPr="00601C96">
        <w:rPr>
          <w:rFonts w:eastAsiaTheme="minorEastAsia"/>
          <w:sz w:val="20"/>
          <w:szCs w:val="20"/>
        </w:rPr>
        <w:t>E</w:t>
      </w:r>
      <w:r w:rsidR="00494BB9">
        <w:rPr>
          <w:rFonts w:eastAsiaTheme="minorEastAsia"/>
          <w:sz w:val="20"/>
          <w:szCs w:val="20"/>
        </w:rPr>
        <w:t xml:space="preserve">uropean Parliament and of the </w:t>
      </w:r>
      <w:r w:rsidRPr="00601C96">
        <w:rPr>
          <w:rFonts w:eastAsiaTheme="minorEastAsia"/>
          <w:sz w:val="20"/>
          <w:szCs w:val="20"/>
        </w:rPr>
        <w:t>C</w:t>
      </w:r>
      <w:r w:rsidR="00494BB9">
        <w:rPr>
          <w:rFonts w:eastAsiaTheme="minorEastAsia"/>
          <w:sz w:val="20"/>
          <w:szCs w:val="20"/>
        </w:rPr>
        <w:t xml:space="preserve">ouncil </w:t>
      </w:r>
      <w:r w:rsidRPr="00601C96">
        <w:rPr>
          <w:rFonts w:eastAsiaTheme="minorEastAsia"/>
          <w:sz w:val="20"/>
          <w:szCs w:val="20"/>
        </w:rPr>
        <w:t>amending Regulations (EU) 2018/841 as regards the scope, simplifying the compliance rules, setting out the targets of the Member States for 2030 and committing to the collective achievement of climate neutrality by 2035 in the land use, forestry and agriculture sector, and (EU) 2018/1999 as regards improvement in monitoring, reporting, tracking of progress and review. COM/2021/554 final</w:t>
      </w:r>
    </w:p>
    <w:p w14:paraId="7859783F" w14:textId="77777777" w:rsidR="00FA1F31" w:rsidRPr="00601C96" w:rsidRDefault="00FA1F31" w:rsidP="00FA1F31">
      <w:pPr>
        <w:spacing w:after="0" w:line="240" w:lineRule="auto"/>
        <w:rPr>
          <w:rFonts w:eastAsiaTheme="minorEastAsia"/>
          <w:sz w:val="20"/>
          <w:szCs w:val="20"/>
        </w:rPr>
      </w:pPr>
    </w:p>
    <w:p w14:paraId="1B6701C0" w14:textId="0FC2FD18" w:rsidR="00FA1F31" w:rsidRPr="00601C96" w:rsidRDefault="00FA1F31" w:rsidP="00FA1F31">
      <w:pPr>
        <w:spacing w:after="0" w:line="240" w:lineRule="auto"/>
        <w:rPr>
          <w:rFonts w:eastAsiaTheme="minorEastAsia"/>
          <w:sz w:val="20"/>
          <w:szCs w:val="20"/>
        </w:rPr>
      </w:pPr>
      <w:r w:rsidRPr="00601C96">
        <w:rPr>
          <w:rFonts w:eastAsiaTheme="minorEastAsia"/>
          <w:sz w:val="20"/>
          <w:szCs w:val="20"/>
        </w:rPr>
        <w:t>ECIU</w:t>
      </w:r>
      <w:r w:rsidR="002D68E5">
        <w:rPr>
          <w:rFonts w:eastAsiaTheme="minorEastAsia"/>
          <w:sz w:val="20"/>
          <w:szCs w:val="20"/>
        </w:rPr>
        <w:t xml:space="preserve"> </w:t>
      </w:r>
      <w:r w:rsidRPr="00601C96">
        <w:rPr>
          <w:rFonts w:eastAsiaTheme="minorEastAsia"/>
          <w:sz w:val="20"/>
          <w:szCs w:val="20"/>
        </w:rPr>
        <w:t>2021</w:t>
      </w:r>
      <w:r w:rsidR="00A968C3">
        <w:rPr>
          <w:rFonts w:eastAsiaTheme="minorEastAsia"/>
          <w:sz w:val="20"/>
          <w:szCs w:val="20"/>
        </w:rPr>
        <w:t xml:space="preserve">, </w:t>
      </w:r>
      <w:r w:rsidRPr="00601C96">
        <w:rPr>
          <w:rFonts w:eastAsiaTheme="minorEastAsia"/>
          <w:sz w:val="20"/>
          <w:szCs w:val="20"/>
        </w:rPr>
        <w:t xml:space="preserve"> Energy and Climate Intelligence Unit. Net Zero Tracker. </w:t>
      </w:r>
      <w:hyperlink r:id="rId57" w:history="1">
        <w:r w:rsidRPr="00601C96">
          <w:rPr>
            <w:rStyle w:val="Hyperlink"/>
            <w:rFonts w:eastAsiaTheme="minorEastAsia"/>
            <w:sz w:val="20"/>
            <w:szCs w:val="20"/>
          </w:rPr>
          <w:t>https://eciu.net/netzerotracker/map</w:t>
        </w:r>
      </w:hyperlink>
    </w:p>
    <w:p w14:paraId="59BAD5C6" w14:textId="77777777" w:rsidR="00FA1F31" w:rsidRPr="00601C96" w:rsidRDefault="00FA1F31" w:rsidP="00FA1F31">
      <w:pPr>
        <w:spacing w:after="0" w:line="240" w:lineRule="auto"/>
        <w:rPr>
          <w:rFonts w:eastAsiaTheme="minorEastAsia"/>
          <w:i/>
          <w:iCs/>
          <w:sz w:val="20"/>
          <w:szCs w:val="20"/>
        </w:rPr>
      </w:pPr>
      <w:r w:rsidRPr="00601C96">
        <w:rPr>
          <w:rFonts w:eastAsiaTheme="minorEastAsia"/>
          <w:i/>
          <w:iCs/>
          <w:sz w:val="20"/>
          <w:szCs w:val="20"/>
        </w:rPr>
        <w:t>Accessed July 2021</w:t>
      </w:r>
    </w:p>
    <w:p w14:paraId="6FA80184" w14:textId="77777777" w:rsidR="00FA1F31" w:rsidRPr="00601C96" w:rsidRDefault="00FA1F31" w:rsidP="00FA1F31">
      <w:pPr>
        <w:pStyle w:val="ListParagraph"/>
        <w:spacing w:after="0" w:line="240" w:lineRule="auto"/>
        <w:rPr>
          <w:rFonts w:eastAsiaTheme="minorEastAsia"/>
          <w:i/>
          <w:iCs/>
          <w:sz w:val="20"/>
          <w:szCs w:val="20"/>
        </w:rPr>
      </w:pPr>
    </w:p>
    <w:p w14:paraId="1B4F1712" w14:textId="76F09A77" w:rsidR="00FA1F31" w:rsidRPr="00601C96" w:rsidRDefault="00A968C3" w:rsidP="00FA1F31">
      <w:pPr>
        <w:spacing w:after="0" w:line="240" w:lineRule="auto"/>
        <w:rPr>
          <w:rFonts w:eastAsiaTheme="minorEastAsia"/>
          <w:sz w:val="20"/>
          <w:szCs w:val="20"/>
        </w:rPr>
      </w:pPr>
      <w:r>
        <w:rPr>
          <w:rFonts w:eastAsiaTheme="minorEastAsia"/>
          <w:sz w:val="20"/>
          <w:szCs w:val="20"/>
        </w:rPr>
        <w:t xml:space="preserve">GHG Protocol guidance </w:t>
      </w:r>
      <w:r w:rsidR="00FA1F31" w:rsidRPr="7AE0751B">
        <w:rPr>
          <w:rFonts w:eastAsiaTheme="minorEastAsia"/>
          <w:sz w:val="20"/>
          <w:szCs w:val="20"/>
        </w:rPr>
        <w:t>2021</w:t>
      </w:r>
      <w:r>
        <w:rPr>
          <w:rFonts w:eastAsiaTheme="minorEastAsia"/>
          <w:sz w:val="20"/>
          <w:szCs w:val="20"/>
        </w:rPr>
        <w:t xml:space="preserve">, </w:t>
      </w:r>
      <w:r w:rsidR="00FA1F31" w:rsidRPr="7AE0751B">
        <w:rPr>
          <w:rFonts w:eastAsiaTheme="minorEastAsia"/>
          <w:sz w:val="20"/>
          <w:szCs w:val="20"/>
        </w:rPr>
        <w:t xml:space="preserve"> </w:t>
      </w:r>
      <w:hyperlink r:id="rId58">
        <w:r w:rsidR="00FA1F31" w:rsidRPr="7AE0751B">
          <w:rPr>
            <w:rStyle w:val="Hyperlink"/>
            <w:rFonts w:eastAsiaTheme="minorEastAsia"/>
            <w:sz w:val="20"/>
            <w:szCs w:val="20"/>
          </w:rPr>
          <w:t>https://ghgprotocol.org/guidance-0</w:t>
        </w:r>
      </w:hyperlink>
      <w:r w:rsidR="00FA1F31" w:rsidRPr="7AE0751B">
        <w:rPr>
          <w:rFonts w:eastAsiaTheme="minorEastAsia"/>
          <w:sz w:val="20"/>
          <w:szCs w:val="20"/>
        </w:rPr>
        <w:t xml:space="preserve"> </w:t>
      </w:r>
      <w:r w:rsidR="00FA1F31" w:rsidRPr="7AE0751B">
        <w:rPr>
          <w:rFonts w:eastAsiaTheme="minorEastAsia"/>
          <w:i/>
          <w:iCs/>
          <w:sz w:val="20"/>
          <w:szCs w:val="20"/>
        </w:rPr>
        <w:t>Accessed July 2021</w:t>
      </w:r>
    </w:p>
    <w:p w14:paraId="4434D997" w14:textId="77777777" w:rsidR="00FA1F31" w:rsidRPr="00601C96" w:rsidRDefault="00FA1F31" w:rsidP="00FA1F31">
      <w:pPr>
        <w:spacing w:after="0" w:line="240" w:lineRule="auto"/>
        <w:rPr>
          <w:rFonts w:eastAsiaTheme="minorEastAsia"/>
          <w:sz w:val="20"/>
          <w:szCs w:val="20"/>
        </w:rPr>
      </w:pPr>
    </w:p>
    <w:p w14:paraId="3A8C5DB5" w14:textId="6EC511D0" w:rsidR="00FA1F31" w:rsidRPr="00601C96" w:rsidRDefault="00A968C3" w:rsidP="00FA1F31">
      <w:pPr>
        <w:spacing w:after="0" w:line="240" w:lineRule="auto"/>
        <w:rPr>
          <w:rFonts w:eastAsiaTheme="minorEastAsia"/>
          <w:sz w:val="20"/>
          <w:szCs w:val="20"/>
        </w:rPr>
      </w:pPr>
      <w:r>
        <w:rPr>
          <w:rFonts w:eastAsiaTheme="minorEastAsia"/>
          <w:sz w:val="20"/>
          <w:szCs w:val="20"/>
        </w:rPr>
        <w:t>Harvey, R</w:t>
      </w:r>
      <w:r w:rsidR="00FA1F31" w:rsidRPr="00601C96">
        <w:rPr>
          <w:rFonts w:eastAsiaTheme="minorEastAsia"/>
          <w:sz w:val="20"/>
          <w:szCs w:val="20"/>
        </w:rPr>
        <w:t xml:space="preserve"> 2021</w:t>
      </w:r>
      <w:r>
        <w:rPr>
          <w:rFonts w:eastAsiaTheme="minorEastAsia"/>
          <w:sz w:val="20"/>
          <w:szCs w:val="20"/>
        </w:rPr>
        <w:t xml:space="preserve">, </w:t>
      </w:r>
      <w:r w:rsidR="00FA1F31" w:rsidRPr="00601C96">
        <w:rPr>
          <w:rFonts w:eastAsiaTheme="minorEastAsia"/>
          <w:sz w:val="20"/>
          <w:szCs w:val="20"/>
        </w:rPr>
        <w:t xml:space="preserve"> </w:t>
      </w:r>
      <w:r w:rsidR="00FA1F31" w:rsidRPr="00601C96">
        <w:rPr>
          <w:rFonts w:eastAsiaTheme="minorEastAsia"/>
          <w:i/>
          <w:iCs/>
          <w:sz w:val="20"/>
          <w:szCs w:val="20"/>
        </w:rPr>
        <w:t>Hunting unicorns in a burgeoning Australian agtech industry</w:t>
      </w:r>
      <w:r w:rsidR="00FA1F31" w:rsidRPr="00601C96">
        <w:rPr>
          <w:rFonts w:eastAsiaTheme="minorEastAsia"/>
          <w:sz w:val="20"/>
          <w:szCs w:val="20"/>
        </w:rPr>
        <w:t xml:space="preserve">. Panel topic at the FoodAgility Summit March 2021. </w:t>
      </w:r>
      <w:hyperlink r:id="rId59" w:history="1">
        <w:r w:rsidR="00FA1F31" w:rsidRPr="00601C96">
          <w:rPr>
            <w:rStyle w:val="Hyperlink"/>
            <w:rFonts w:eastAsiaTheme="minorEastAsia"/>
            <w:sz w:val="20"/>
            <w:szCs w:val="20"/>
          </w:rPr>
          <w:t>https://www.foodagilitysummit2021.com/speakers?utm_medium=email&amp;_hsmi=115461292&amp;_hsenc=p2ANqtz--ME0SSanF7TPj77M6HhK8tXEOwBWERtzmMLqckSyOA1yl5EZNcXLhwHjURTOCN1autn0tOyAeLfAY3YFjDbVUrlSaGMkOng9LsGqiu51fjCdSFcUE&amp;utm_content=115461292&amp;utm_source=hs_email</w:t>
        </w:r>
      </w:hyperlink>
    </w:p>
    <w:p w14:paraId="35F3B927" w14:textId="77777777" w:rsidR="00FA1F31" w:rsidRPr="00601C96" w:rsidRDefault="00FA1F31" w:rsidP="00FA1F31">
      <w:pPr>
        <w:spacing w:after="0" w:line="240" w:lineRule="auto"/>
        <w:rPr>
          <w:rFonts w:eastAsiaTheme="minorEastAsia"/>
          <w:i/>
          <w:iCs/>
          <w:sz w:val="20"/>
          <w:szCs w:val="20"/>
        </w:rPr>
      </w:pPr>
    </w:p>
    <w:p w14:paraId="6212E32F" w14:textId="4545D6B5" w:rsidR="00FA1F31" w:rsidRPr="00601C96" w:rsidRDefault="00FA1F31" w:rsidP="00FA1F31">
      <w:pPr>
        <w:spacing w:after="0" w:line="240" w:lineRule="auto"/>
        <w:rPr>
          <w:rFonts w:ascii="Calibri" w:eastAsia="Calibri" w:hAnsi="Calibri" w:cs="Calibri"/>
          <w:sz w:val="20"/>
          <w:szCs w:val="20"/>
        </w:rPr>
      </w:pPr>
      <w:r w:rsidRPr="00601C96">
        <w:rPr>
          <w:rFonts w:ascii="Calibri" w:eastAsia="Calibri" w:hAnsi="Calibri" w:cs="Calibri"/>
          <w:sz w:val="20"/>
          <w:szCs w:val="20"/>
        </w:rPr>
        <w:t>IPCC, 2018</w:t>
      </w:r>
      <w:r w:rsidR="00A968C3">
        <w:rPr>
          <w:rFonts w:ascii="Calibri" w:eastAsia="Calibri" w:hAnsi="Calibri" w:cs="Calibri"/>
          <w:sz w:val="20"/>
          <w:szCs w:val="20"/>
        </w:rPr>
        <w:t xml:space="preserve">. </w:t>
      </w:r>
      <w:r w:rsidRPr="00601C96">
        <w:rPr>
          <w:rFonts w:ascii="Calibri" w:eastAsia="Calibri" w:hAnsi="Calibri" w:cs="Calibri"/>
          <w:sz w:val="20"/>
          <w:szCs w:val="20"/>
        </w:rPr>
        <w:t xml:space="preserve">Annex I: Glossary [Matthews, J.B.R. (ed.)]. In: </w:t>
      </w:r>
      <w:r w:rsidRPr="00601C96">
        <w:rPr>
          <w:rFonts w:ascii="Calibri" w:eastAsia="Calibri" w:hAnsi="Calibri" w:cs="Calibri"/>
          <w:i/>
          <w:iCs/>
          <w:sz w:val="20"/>
          <w:szCs w:val="20"/>
        </w:rPr>
        <w:t>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w:t>
      </w:r>
      <w:r w:rsidRPr="00601C96">
        <w:rPr>
          <w:rFonts w:ascii="Calibri" w:eastAsia="Calibri" w:hAnsi="Calibri" w:cs="Calibri"/>
          <w:sz w:val="20"/>
          <w:szCs w:val="20"/>
        </w:rPr>
        <w:t xml:space="preserve"> [Masson-Delmotte, V., P. Zhai, H.-O. Pörtner, D. Roberts, J. Skea, P.R. Shukla, A. Pirani, W. Moufouma-Okia, C. Péan, R. Pidcock, S. Connors, J.B.R. Matthews, Y. Chen, X. Zhou, M.I. Gomis, E. Lonnoy, T. Maycock, M. Tignor, and</w:t>
      </w:r>
      <w:r w:rsidR="00FE1368">
        <w:rPr>
          <w:rFonts w:ascii="Calibri" w:eastAsia="Calibri" w:hAnsi="Calibri" w:cs="Calibri"/>
          <w:sz w:val="20"/>
          <w:szCs w:val="20"/>
        </w:rPr>
        <w:t xml:space="preserve"> T. Waterfield (eds.)]. Cambridge </w:t>
      </w:r>
      <w:r w:rsidR="00494BB9">
        <w:rPr>
          <w:rFonts w:ascii="Calibri" w:eastAsia="Calibri" w:hAnsi="Calibri" w:cs="Calibri"/>
          <w:sz w:val="20"/>
          <w:szCs w:val="20"/>
        </w:rPr>
        <w:t xml:space="preserve">University Press, P.24. </w:t>
      </w:r>
    </w:p>
    <w:p w14:paraId="09A26FFF" w14:textId="77777777" w:rsidR="00FA1F31" w:rsidRPr="00601C96" w:rsidRDefault="00FA1F31" w:rsidP="00FA1F31">
      <w:pPr>
        <w:spacing w:after="0" w:line="240" w:lineRule="auto"/>
        <w:rPr>
          <w:rFonts w:ascii="Calibri" w:eastAsia="Calibri" w:hAnsi="Calibri" w:cs="Calibri"/>
          <w:sz w:val="20"/>
          <w:szCs w:val="20"/>
        </w:rPr>
      </w:pPr>
    </w:p>
    <w:p w14:paraId="37AF4F05" w14:textId="401D869C" w:rsidR="00FA1F31" w:rsidRPr="00601C96" w:rsidRDefault="00A968C3" w:rsidP="00FA1F31">
      <w:pPr>
        <w:spacing w:after="0" w:line="240" w:lineRule="auto"/>
        <w:rPr>
          <w:rFonts w:ascii="Calibri" w:eastAsia="Calibri" w:hAnsi="Calibri" w:cs="Calibri"/>
          <w:i/>
          <w:iCs/>
          <w:sz w:val="20"/>
          <w:szCs w:val="20"/>
        </w:rPr>
      </w:pPr>
      <w:r>
        <w:rPr>
          <w:rFonts w:ascii="Calibri" w:eastAsia="Calibri" w:hAnsi="Calibri" w:cs="Calibri"/>
          <w:sz w:val="20"/>
          <w:szCs w:val="20"/>
        </w:rPr>
        <w:t xml:space="preserve">Landscape taskforce </w:t>
      </w:r>
      <w:r w:rsidR="00FA1F31" w:rsidRPr="00601C96">
        <w:rPr>
          <w:rFonts w:ascii="Calibri" w:eastAsia="Calibri" w:hAnsi="Calibri" w:cs="Calibri"/>
          <w:sz w:val="20"/>
          <w:szCs w:val="20"/>
        </w:rPr>
        <w:t>2021</w:t>
      </w:r>
      <w:r>
        <w:rPr>
          <w:rFonts w:ascii="Calibri" w:eastAsia="Calibri" w:hAnsi="Calibri" w:cs="Calibri"/>
          <w:sz w:val="20"/>
          <w:szCs w:val="20"/>
        </w:rPr>
        <w:t xml:space="preserve">, </w:t>
      </w:r>
      <w:r w:rsidR="00FA1F31" w:rsidRPr="00963A2F">
        <w:rPr>
          <w:rFonts w:ascii="Calibri" w:eastAsia="Calibri" w:hAnsi="Calibri" w:cs="Calibri"/>
          <w:i/>
          <w:iCs/>
          <w:sz w:val="20"/>
          <w:szCs w:val="20"/>
        </w:rPr>
        <w:t>Unlocking a landscape solution for vegetation ± soil carbon storage, Method prioritisation proposal.</w:t>
      </w:r>
      <w:r w:rsidR="00FA1F31" w:rsidRPr="00601C96">
        <w:rPr>
          <w:rFonts w:ascii="Calibri" w:eastAsia="Calibri" w:hAnsi="Calibri" w:cs="Calibri"/>
          <w:sz w:val="20"/>
          <w:szCs w:val="20"/>
        </w:rPr>
        <w:t xml:space="preserve"> Carbon Market Institute. </w:t>
      </w:r>
      <w:r w:rsidR="00FA1F31" w:rsidRPr="00601C96">
        <w:rPr>
          <w:rFonts w:ascii="Calibri" w:eastAsia="Calibri" w:hAnsi="Calibri" w:cs="Calibri"/>
          <w:i/>
          <w:iCs/>
          <w:sz w:val="20"/>
          <w:szCs w:val="20"/>
        </w:rPr>
        <w:t xml:space="preserve">Unpublished submissions to the Department of Industry, Science, Energy and Resources. </w:t>
      </w:r>
    </w:p>
    <w:p w14:paraId="5B77544C" w14:textId="77777777" w:rsidR="00FA1F31" w:rsidRPr="00601C96" w:rsidRDefault="00FA1F31" w:rsidP="00FA1F31">
      <w:pPr>
        <w:spacing w:after="0" w:line="240" w:lineRule="auto"/>
        <w:rPr>
          <w:rFonts w:ascii="Calibri" w:eastAsia="Calibri" w:hAnsi="Calibri" w:cs="Calibri"/>
          <w:sz w:val="20"/>
          <w:szCs w:val="20"/>
        </w:rPr>
      </w:pPr>
    </w:p>
    <w:p w14:paraId="0BE9CD84" w14:textId="77777777" w:rsidR="00FA1F31" w:rsidRDefault="00FA1F31" w:rsidP="00FA1F31">
      <w:pPr>
        <w:spacing w:after="0" w:line="240" w:lineRule="auto"/>
        <w:rPr>
          <w:sz w:val="20"/>
          <w:szCs w:val="20"/>
        </w:rPr>
      </w:pPr>
      <w:r w:rsidRPr="00601C96">
        <w:rPr>
          <w:sz w:val="20"/>
          <w:szCs w:val="20"/>
        </w:rPr>
        <w:t xml:space="preserve">MLA </w:t>
      </w:r>
      <w:r>
        <w:rPr>
          <w:sz w:val="20"/>
          <w:szCs w:val="20"/>
        </w:rPr>
        <w:t>(</w:t>
      </w:r>
      <w:r w:rsidRPr="00601C96">
        <w:rPr>
          <w:sz w:val="20"/>
          <w:szCs w:val="20"/>
        </w:rPr>
        <w:t>2020</w:t>
      </w:r>
      <w:r w:rsidRPr="00601C96">
        <w:rPr>
          <w:sz w:val="20"/>
          <w:szCs w:val="20"/>
          <w:vertAlign w:val="superscript"/>
        </w:rPr>
        <w:t>1</w:t>
      </w:r>
      <w:r>
        <w:rPr>
          <w:sz w:val="20"/>
          <w:szCs w:val="20"/>
        </w:rPr>
        <w:t xml:space="preserve">). </w:t>
      </w:r>
      <w:r w:rsidRPr="00963A2F">
        <w:rPr>
          <w:i/>
          <w:iCs/>
          <w:sz w:val="20"/>
          <w:szCs w:val="20"/>
        </w:rPr>
        <w:t>The Australian Red Meat Industry’s Carbon Neutral by 2030 Roadmap.</w:t>
      </w:r>
      <w:r w:rsidRPr="00601C96">
        <w:rPr>
          <w:sz w:val="20"/>
          <w:szCs w:val="20"/>
        </w:rPr>
        <w:t xml:space="preserve"> Published November 2020 by Meat and Livestock Australia. </w:t>
      </w:r>
      <w:hyperlink r:id="rId60" w:history="1">
        <w:r w:rsidRPr="00432264">
          <w:rPr>
            <w:rStyle w:val="Hyperlink"/>
            <w:sz w:val="20"/>
            <w:szCs w:val="20"/>
          </w:rPr>
          <w:t xml:space="preserve">https://www.mla.com.au/globalassets/mla-corporate/research-and-development/program-areas/environment-and-sustainability/2689-mla-cn30-roadmap_d3.pdf </w:t>
        </w:r>
      </w:hyperlink>
    </w:p>
    <w:p w14:paraId="237DF5A1" w14:textId="77777777" w:rsidR="00FA1F31" w:rsidRPr="00DD2DE7" w:rsidRDefault="00FA1F31" w:rsidP="00FA1F31">
      <w:pPr>
        <w:spacing w:after="0" w:line="240" w:lineRule="auto"/>
        <w:rPr>
          <w:i/>
          <w:iCs/>
          <w:sz w:val="20"/>
          <w:szCs w:val="20"/>
        </w:rPr>
      </w:pPr>
      <w:r w:rsidRPr="00DD2DE7">
        <w:rPr>
          <w:i/>
          <w:iCs/>
          <w:sz w:val="20"/>
          <w:szCs w:val="20"/>
        </w:rPr>
        <w:t>Accessed July 2021</w:t>
      </w:r>
    </w:p>
    <w:p w14:paraId="3244EF91" w14:textId="77777777" w:rsidR="00FA1F31" w:rsidRPr="00601C96" w:rsidRDefault="00FA1F31" w:rsidP="00FA1F31">
      <w:pPr>
        <w:spacing w:after="0" w:line="240" w:lineRule="auto"/>
        <w:rPr>
          <w:i/>
          <w:iCs/>
          <w:sz w:val="20"/>
          <w:szCs w:val="20"/>
        </w:rPr>
      </w:pPr>
    </w:p>
    <w:p w14:paraId="19A74B7F" w14:textId="7CF90175" w:rsidR="00FA1F31" w:rsidRPr="00601C96" w:rsidRDefault="00A968C3" w:rsidP="00FA1F31">
      <w:pPr>
        <w:spacing w:after="0" w:line="240" w:lineRule="auto"/>
        <w:rPr>
          <w:sz w:val="20"/>
          <w:szCs w:val="20"/>
        </w:rPr>
      </w:pPr>
      <w:r>
        <w:rPr>
          <w:sz w:val="20"/>
          <w:szCs w:val="20"/>
        </w:rPr>
        <w:t xml:space="preserve">MLA </w:t>
      </w:r>
      <w:r w:rsidR="00FA1F31" w:rsidRPr="00601C96">
        <w:rPr>
          <w:sz w:val="20"/>
          <w:szCs w:val="20"/>
        </w:rPr>
        <w:t>2021</w:t>
      </w:r>
      <w:r w:rsidR="00FA1F31" w:rsidRPr="00601C96">
        <w:rPr>
          <w:sz w:val="20"/>
          <w:szCs w:val="20"/>
          <w:vertAlign w:val="superscript"/>
        </w:rPr>
        <w:t>2</w:t>
      </w:r>
      <w:r>
        <w:rPr>
          <w:sz w:val="20"/>
          <w:szCs w:val="20"/>
        </w:rPr>
        <w:t xml:space="preserve">, </w:t>
      </w:r>
      <w:r w:rsidR="00FA1F31" w:rsidRPr="00601C96">
        <w:rPr>
          <w:sz w:val="20"/>
          <w:szCs w:val="20"/>
        </w:rPr>
        <w:t xml:space="preserve"> </w:t>
      </w:r>
      <w:r w:rsidR="00FA1F31" w:rsidRPr="00963A2F">
        <w:rPr>
          <w:i/>
          <w:iCs/>
          <w:sz w:val="20"/>
          <w:szCs w:val="20"/>
        </w:rPr>
        <w:t>Global beef industry trade report</w:t>
      </w:r>
      <w:r w:rsidR="00FA1F31" w:rsidRPr="00601C96">
        <w:rPr>
          <w:sz w:val="20"/>
          <w:szCs w:val="20"/>
        </w:rPr>
        <w:t xml:space="preserve">. February 2021. </w:t>
      </w:r>
      <w:hyperlink r:id="rId61">
        <w:r w:rsidR="00FA1F31" w:rsidRPr="00601C96">
          <w:rPr>
            <w:rStyle w:val="Hyperlink"/>
            <w:sz w:val="20"/>
            <w:szCs w:val="20"/>
          </w:rPr>
          <w:t>https://www.mla.com.au/globalassets/mla-corporate/prices--markets/documents/os-markets/red-meat-market-snapshots/2021/global-beef-industry-and-trade-report.pdf</w:t>
        </w:r>
      </w:hyperlink>
      <w:r w:rsidR="00FA1F31" w:rsidRPr="00601C96">
        <w:rPr>
          <w:sz w:val="20"/>
          <w:szCs w:val="20"/>
        </w:rPr>
        <w:t xml:space="preserve"> </w:t>
      </w:r>
      <w:r w:rsidR="00FA1F31" w:rsidRPr="00601C96">
        <w:rPr>
          <w:i/>
          <w:iCs/>
          <w:sz w:val="20"/>
          <w:szCs w:val="20"/>
        </w:rPr>
        <w:t>Accessed July 2021</w:t>
      </w:r>
    </w:p>
    <w:p w14:paraId="4207F4FE" w14:textId="77777777" w:rsidR="00FA1F31" w:rsidRPr="00601C96" w:rsidRDefault="00FA1F31" w:rsidP="00FA1F31">
      <w:pPr>
        <w:spacing w:after="0" w:line="240" w:lineRule="auto"/>
        <w:rPr>
          <w:sz w:val="20"/>
          <w:szCs w:val="20"/>
        </w:rPr>
      </w:pPr>
    </w:p>
    <w:p w14:paraId="464E9468" w14:textId="7601D82B" w:rsidR="00FA1F31" w:rsidRDefault="00A968C3" w:rsidP="00FA1F31">
      <w:pPr>
        <w:spacing w:after="0" w:line="240" w:lineRule="auto"/>
        <w:rPr>
          <w:sz w:val="20"/>
          <w:szCs w:val="20"/>
        </w:rPr>
      </w:pPr>
      <w:r>
        <w:rPr>
          <w:sz w:val="20"/>
          <w:szCs w:val="20"/>
        </w:rPr>
        <w:t xml:space="preserve">MLA </w:t>
      </w:r>
      <w:r w:rsidR="00FA1F31" w:rsidRPr="00601C96">
        <w:rPr>
          <w:sz w:val="20"/>
          <w:szCs w:val="20"/>
        </w:rPr>
        <w:t>2021</w:t>
      </w:r>
      <w:r w:rsidR="00FA1F31" w:rsidRPr="00601C96">
        <w:rPr>
          <w:sz w:val="20"/>
          <w:szCs w:val="20"/>
          <w:vertAlign w:val="superscript"/>
        </w:rPr>
        <w:t>3</w:t>
      </w:r>
      <w:r>
        <w:rPr>
          <w:sz w:val="20"/>
          <w:szCs w:val="20"/>
        </w:rPr>
        <w:t xml:space="preserve">, </w:t>
      </w:r>
      <w:r w:rsidR="00FA1F31" w:rsidRPr="00601C96">
        <w:rPr>
          <w:sz w:val="20"/>
          <w:szCs w:val="20"/>
        </w:rPr>
        <w:t xml:space="preserve"> </w:t>
      </w:r>
      <w:r w:rsidR="00FA1F31" w:rsidRPr="00963A2F">
        <w:rPr>
          <w:rFonts w:ascii="Calibri" w:eastAsia="Calibri" w:hAnsi="Calibri" w:cs="Calibri"/>
          <w:i/>
          <w:iCs/>
          <w:sz w:val="20"/>
          <w:szCs w:val="20"/>
        </w:rPr>
        <w:t>Moving towards carbon neutrality – Opportunities for the Australian feedlot industry.</w:t>
      </w:r>
      <w:r w:rsidR="00FA1F31" w:rsidRPr="00601C96">
        <w:rPr>
          <w:sz w:val="20"/>
          <w:szCs w:val="20"/>
        </w:rPr>
        <w:t xml:space="preserve"> </w:t>
      </w:r>
      <w:hyperlink r:id="rId62" w:history="1">
        <w:r w:rsidR="00FA1F31" w:rsidRPr="004C5DEE">
          <w:rPr>
            <w:rStyle w:val="Hyperlink"/>
            <w:sz w:val="20"/>
            <w:szCs w:val="20"/>
          </w:rPr>
          <w:t>https://www.mla.com.au/globalassets/mla-corporate/research-and-development/program-areas/feeding-finishing-and-nutrition/pathways-to-carbon-neutrality-for-australian-feedlots.pdf</w:t>
        </w:r>
      </w:hyperlink>
    </w:p>
    <w:p w14:paraId="4FA03558" w14:textId="77777777" w:rsidR="00FA1F31" w:rsidRPr="00DD2DE7" w:rsidRDefault="00FA1F31" w:rsidP="00FA1F31">
      <w:pPr>
        <w:spacing w:after="0" w:line="240" w:lineRule="auto"/>
        <w:rPr>
          <w:i/>
          <w:iCs/>
          <w:sz w:val="20"/>
          <w:szCs w:val="20"/>
        </w:rPr>
      </w:pPr>
      <w:r w:rsidRPr="00DD2DE7">
        <w:rPr>
          <w:i/>
          <w:iCs/>
          <w:sz w:val="20"/>
          <w:szCs w:val="20"/>
        </w:rPr>
        <w:t>Accessed September 2021</w:t>
      </w:r>
    </w:p>
    <w:p w14:paraId="502B4975" w14:textId="77777777" w:rsidR="00FA1F31" w:rsidRPr="00601C96" w:rsidRDefault="00FA1F31" w:rsidP="00FA1F31">
      <w:pPr>
        <w:spacing w:after="0" w:line="240" w:lineRule="auto"/>
        <w:rPr>
          <w:sz w:val="20"/>
          <w:szCs w:val="20"/>
        </w:rPr>
      </w:pPr>
    </w:p>
    <w:p w14:paraId="27ADFB33" w14:textId="77777777" w:rsidR="00FA1F31" w:rsidRPr="00601C96" w:rsidRDefault="00FA1F31" w:rsidP="00FA1F31">
      <w:pPr>
        <w:spacing w:after="0" w:line="240" w:lineRule="auto"/>
        <w:rPr>
          <w:sz w:val="20"/>
          <w:szCs w:val="20"/>
        </w:rPr>
      </w:pPr>
      <w:r w:rsidRPr="00601C96">
        <w:rPr>
          <w:sz w:val="20"/>
          <w:szCs w:val="20"/>
        </w:rPr>
        <w:t xml:space="preserve">Muller. F, Saddler, H. and Melville-Rea, H. (2021) </w:t>
      </w:r>
      <w:r w:rsidRPr="00963A2F">
        <w:rPr>
          <w:i/>
          <w:iCs/>
          <w:sz w:val="20"/>
          <w:szCs w:val="20"/>
        </w:rPr>
        <w:t>Carbon Border Adjustments, What are they and how will they impact Australia</w:t>
      </w:r>
      <w:r w:rsidRPr="00601C96">
        <w:rPr>
          <w:sz w:val="20"/>
          <w:szCs w:val="20"/>
        </w:rPr>
        <w:t xml:space="preserve">. The Australian Institute. </w:t>
      </w:r>
      <w:r>
        <w:rPr>
          <w:sz w:val="20"/>
          <w:szCs w:val="20"/>
        </w:rPr>
        <w:t>April 2021</w:t>
      </w:r>
    </w:p>
    <w:p w14:paraId="588AAA5E" w14:textId="77777777" w:rsidR="00FA1F31" w:rsidRPr="00601C96" w:rsidRDefault="00FA1F31" w:rsidP="00FA1F31">
      <w:pPr>
        <w:spacing w:after="0" w:line="240" w:lineRule="auto"/>
        <w:rPr>
          <w:sz w:val="20"/>
          <w:szCs w:val="20"/>
        </w:rPr>
      </w:pPr>
    </w:p>
    <w:p w14:paraId="5AB6C5FE" w14:textId="7A979B44" w:rsidR="00FA1F31" w:rsidRPr="00601C96" w:rsidRDefault="00FA1F31" w:rsidP="00FA1F31">
      <w:pPr>
        <w:spacing w:after="0" w:line="240" w:lineRule="auto"/>
        <w:rPr>
          <w:rStyle w:val="eop"/>
          <w:rFonts w:ascii="Calibri" w:hAnsi="Calibri" w:cs="Calibri"/>
          <w:color w:val="000000"/>
          <w:szCs w:val="20"/>
          <w:shd w:val="clear" w:color="auto" w:fill="FFFFFF"/>
        </w:rPr>
      </w:pPr>
      <w:r w:rsidRPr="00601C96">
        <w:rPr>
          <w:rStyle w:val="normaltextrun"/>
          <w:rFonts w:ascii="Calibri" w:hAnsi="Calibri" w:cs="Calibri"/>
          <w:color w:val="000000"/>
          <w:sz w:val="20"/>
          <w:szCs w:val="20"/>
          <w:shd w:val="clear" w:color="auto" w:fill="FFFFFF"/>
        </w:rPr>
        <w:t>Nolet, S</w:t>
      </w:r>
      <w:r w:rsidR="00A968C3">
        <w:rPr>
          <w:rStyle w:val="normaltextrun"/>
          <w:rFonts w:ascii="Calibri" w:hAnsi="Calibri" w:cs="Calibri"/>
          <w:color w:val="000000"/>
          <w:sz w:val="20"/>
          <w:szCs w:val="20"/>
          <w:shd w:val="clear" w:color="auto" w:fill="FFFFFF"/>
        </w:rPr>
        <w:t>, hosts 2</w:t>
      </w:r>
      <w:r w:rsidRPr="00601C96">
        <w:rPr>
          <w:rStyle w:val="normaltextrun"/>
          <w:rFonts w:ascii="Calibri" w:hAnsi="Calibri" w:cs="Calibri"/>
          <w:color w:val="000000"/>
          <w:sz w:val="20"/>
          <w:szCs w:val="20"/>
          <w:shd w:val="clear" w:color="auto" w:fill="FFFFFF"/>
        </w:rPr>
        <w:t>020</w:t>
      </w:r>
      <w:r w:rsidR="00A968C3">
        <w:rPr>
          <w:rStyle w:val="normaltextrun"/>
          <w:rFonts w:ascii="Calibri" w:hAnsi="Calibri" w:cs="Calibri"/>
          <w:color w:val="000000"/>
          <w:sz w:val="20"/>
          <w:szCs w:val="20"/>
          <w:shd w:val="clear" w:color="auto" w:fill="FFFFFF"/>
        </w:rPr>
        <w:t xml:space="preserve">, </w:t>
      </w:r>
      <w:r w:rsidRPr="00601C96">
        <w:rPr>
          <w:rStyle w:val="normaltextrun"/>
          <w:rFonts w:ascii="Calibri" w:hAnsi="Calibri" w:cs="Calibri"/>
          <w:color w:val="000000"/>
          <w:sz w:val="20"/>
          <w:szCs w:val="20"/>
          <w:shd w:val="clear" w:color="auto" w:fill="FFFFFF"/>
        </w:rPr>
        <w:t>“</w:t>
      </w:r>
      <w:r w:rsidRPr="00601C96">
        <w:rPr>
          <w:rStyle w:val="normaltextrun"/>
          <w:rFonts w:ascii="Calibri" w:hAnsi="Calibri" w:cs="Calibri"/>
          <w:i/>
          <w:iCs/>
          <w:color w:val="000000"/>
          <w:sz w:val="20"/>
          <w:szCs w:val="20"/>
          <w:shd w:val="clear" w:color="auto" w:fill="FFFFFF"/>
        </w:rPr>
        <w:t>Tips from three leading farmers using tech everyday (live from evokeAG)”</w:t>
      </w:r>
      <w:r w:rsidRPr="00601C96">
        <w:rPr>
          <w:rStyle w:val="normaltextrun"/>
          <w:rFonts w:ascii="Calibri" w:hAnsi="Calibri" w:cs="Calibri"/>
          <w:i/>
          <w:iCs/>
          <w:color w:val="000000"/>
          <w:sz w:val="20"/>
          <w:szCs w:val="20"/>
          <w:u w:val="single"/>
          <w:shd w:val="clear" w:color="auto" w:fill="FFFFFF"/>
        </w:rPr>
        <w:t> </w:t>
      </w:r>
      <w:r w:rsidRPr="00601C96">
        <w:rPr>
          <w:rStyle w:val="normaltextrun"/>
          <w:rFonts w:ascii="Calibri" w:hAnsi="Calibri" w:cs="Calibri"/>
          <w:color w:val="000000"/>
          <w:sz w:val="20"/>
          <w:szCs w:val="20"/>
          <w:shd w:val="clear" w:color="auto" w:fill="FFFFFF"/>
        </w:rPr>
        <w:t>Episode 67 May 20, 2020</w:t>
      </w:r>
      <w:r w:rsidRPr="00601C96">
        <w:rPr>
          <w:rStyle w:val="eop"/>
          <w:rFonts w:ascii="Calibri" w:hAnsi="Calibri" w:cs="Calibri"/>
          <w:color w:val="000000"/>
          <w:szCs w:val="20"/>
          <w:shd w:val="clear" w:color="auto" w:fill="FFFFFF"/>
        </w:rPr>
        <w:t> </w:t>
      </w:r>
    </w:p>
    <w:p w14:paraId="30D6860E" w14:textId="77777777" w:rsidR="00FA1F31" w:rsidRPr="00601C96" w:rsidRDefault="00FA1F31" w:rsidP="00FA1F31">
      <w:pPr>
        <w:spacing w:after="0" w:line="240" w:lineRule="auto"/>
        <w:rPr>
          <w:sz w:val="20"/>
          <w:szCs w:val="20"/>
        </w:rPr>
      </w:pPr>
    </w:p>
    <w:p w14:paraId="30E18654" w14:textId="4C4342CD" w:rsidR="00FA1F31" w:rsidRDefault="00FA1F31" w:rsidP="00FA1F31">
      <w:pPr>
        <w:spacing w:after="0" w:line="240" w:lineRule="auto"/>
        <w:rPr>
          <w:rStyle w:val="Hyperlink"/>
          <w:sz w:val="20"/>
          <w:szCs w:val="20"/>
        </w:rPr>
      </w:pPr>
      <w:r w:rsidRPr="7AE0751B">
        <w:rPr>
          <w:sz w:val="20"/>
          <w:szCs w:val="20"/>
        </w:rPr>
        <w:t>Parker, D</w:t>
      </w:r>
      <w:r w:rsidR="00A968C3">
        <w:rPr>
          <w:sz w:val="20"/>
          <w:szCs w:val="20"/>
        </w:rPr>
        <w:t xml:space="preserve"> </w:t>
      </w:r>
      <w:r w:rsidRPr="7AE0751B">
        <w:rPr>
          <w:sz w:val="20"/>
          <w:szCs w:val="20"/>
        </w:rPr>
        <w:t>2021</w:t>
      </w:r>
      <w:r w:rsidR="00A968C3">
        <w:rPr>
          <w:sz w:val="20"/>
          <w:szCs w:val="20"/>
        </w:rPr>
        <w:t xml:space="preserve">, </w:t>
      </w:r>
      <w:r w:rsidRPr="7AE0751B">
        <w:rPr>
          <w:sz w:val="20"/>
          <w:szCs w:val="20"/>
        </w:rPr>
        <w:t xml:space="preserve">Chair of the Clean Energy Regulator. </w:t>
      </w:r>
      <w:r w:rsidRPr="7AE0751B">
        <w:rPr>
          <w:i/>
          <w:iCs/>
          <w:sz w:val="20"/>
          <w:szCs w:val="20"/>
        </w:rPr>
        <w:t>Boosting Supply</w:t>
      </w:r>
      <w:r w:rsidRPr="7AE0751B">
        <w:rPr>
          <w:sz w:val="20"/>
          <w:szCs w:val="20"/>
        </w:rPr>
        <w:t>, 5</w:t>
      </w:r>
      <w:r w:rsidRPr="7AE0751B">
        <w:rPr>
          <w:sz w:val="20"/>
          <w:szCs w:val="20"/>
          <w:vertAlign w:val="superscript"/>
        </w:rPr>
        <w:t>th</w:t>
      </w:r>
      <w:r w:rsidRPr="7AE0751B">
        <w:rPr>
          <w:sz w:val="20"/>
          <w:szCs w:val="20"/>
        </w:rPr>
        <w:t xml:space="preserve"> Carbon Farming Forum 10</w:t>
      </w:r>
      <w:r w:rsidRPr="7AE0751B">
        <w:rPr>
          <w:sz w:val="20"/>
          <w:szCs w:val="20"/>
          <w:vertAlign w:val="superscript"/>
        </w:rPr>
        <w:t>th</w:t>
      </w:r>
      <w:r w:rsidRPr="7AE0751B">
        <w:rPr>
          <w:sz w:val="20"/>
          <w:szCs w:val="20"/>
        </w:rPr>
        <w:t xml:space="preserve"> September 2021. </w:t>
      </w:r>
      <w:hyperlink r:id="rId63">
        <w:r w:rsidRPr="7AE0751B">
          <w:rPr>
            <w:rStyle w:val="Hyperlink"/>
            <w:sz w:val="20"/>
            <w:szCs w:val="20"/>
          </w:rPr>
          <w:t>https://carbonmarketinstitute.org/app/uploads/2021/09/5th-Carbon-Farming-Industry-Forum-Program.pdf</w:t>
        </w:r>
      </w:hyperlink>
    </w:p>
    <w:p w14:paraId="56EB03AE" w14:textId="77777777" w:rsidR="00FA1F31" w:rsidRPr="00563813" w:rsidRDefault="00FA1F31" w:rsidP="00FA1F31">
      <w:pPr>
        <w:spacing w:after="0" w:line="240" w:lineRule="auto"/>
        <w:rPr>
          <w:i/>
          <w:iCs/>
          <w:sz w:val="20"/>
          <w:szCs w:val="20"/>
        </w:rPr>
      </w:pPr>
    </w:p>
    <w:p w14:paraId="10F908C6" w14:textId="7572C29B" w:rsidR="00FA1F31" w:rsidRDefault="00FA1F31" w:rsidP="00FA1F31">
      <w:pPr>
        <w:spacing w:after="0" w:line="240" w:lineRule="auto"/>
        <w:rPr>
          <w:sz w:val="20"/>
          <w:szCs w:val="20"/>
        </w:rPr>
      </w:pPr>
      <w:r w:rsidRPr="7AE0751B">
        <w:rPr>
          <w:sz w:val="20"/>
          <w:szCs w:val="20"/>
        </w:rPr>
        <w:t>Rabo Carbon Bank</w:t>
      </w:r>
      <w:r w:rsidR="002D68E5">
        <w:rPr>
          <w:sz w:val="20"/>
          <w:szCs w:val="20"/>
        </w:rPr>
        <w:t xml:space="preserve"> </w:t>
      </w:r>
      <w:r w:rsidRPr="7AE0751B">
        <w:rPr>
          <w:sz w:val="20"/>
          <w:szCs w:val="20"/>
        </w:rPr>
        <w:t>2021</w:t>
      </w:r>
      <w:r w:rsidR="00A968C3">
        <w:rPr>
          <w:sz w:val="20"/>
          <w:szCs w:val="20"/>
        </w:rPr>
        <w:t xml:space="preserve">, </w:t>
      </w:r>
      <w:r w:rsidRPr="7AE0751B">
        <w:rPr>
          <w:sz w:val="20"/>
          <w:szCs w:val="20"/>
        </w:rPr>
        <w:t xml:space="preserve"> </w:t>
      </w:r>
      <w:hyperlink r:id="rId64">
        <w:r w:rsidRPr="7AE0751B">
          <w:rPr>
            <w:rStyle w:val="Hyperlink"/>
            <w:sz w:val="20"/>
            <w:szCs w:val="20"/>
          </w:rPr>
          <w:t>https://www.rabobank.nl/en/about-us/carbon-bank</w:t>
        </w:r>
      </w:hyperlink>
      <w:r w:rsidRPr="7AE0751B">
        <w:rPr>
          <w:sz w:val="20"/>
          <w:szCs w:val="20"/>
        </w:rPr>
        <w:t xml:space="preserve"> </w:t>
      </w:r>
      <w:r w:rsidRPr="7AE0751B">
        <w:rPr>
          <w:i/>
          <w:iCs/>
          <w:sz w:val="20"/>
          <w:szCs w:val="20"/>
        </w:rPr>
        <w:t>Accessed October 2021</w:t>
      </w:r>
    </w:p>
    <w:p w14:paraId="3CD2503F" w14:textId="77777777" w:rsidR="00FA1F31" w:rsidRDefault="00FA1F31" w:rsidP="00FA1F31">
      <w:pPr>
        <w:spacing w:after="0" w:line="240" w:lineRule="auto"/>
        <w:rPr>
          <w:i/>
          <w:iCs/>
          <w:sz w:val="20"/>
          <w:szCs w:val="20"/>
        </w:rPr>
      </w:pPr>
    </w:p>
    <w:p w14:paraId="6B5D6331" w14:textId="79970F17" w:rsidR="00FA1F31" w:rsidRDefault="00FA1F31" w:rsidP="00FA1F31">
      <w:pPr>
        <w:spacing w:after="0" w:line="240" w:lineRule="auto"/>
        <w:rPr>
          <w:sz w:val="20"/>
          <w:szCs w:val="20"/>
        </w:rPr>
      </w:pPr>
      <w:r>
        <w:rPr>
          <w:sz w:val="20"/>
          <w:szCs w:val="20"/>
        </w:rPr>
        <w:t>Ritchie</w:t>
      </w:r>
      <w:r w:rsidR="002D68E5">
        <w:rPr>
          <w:sz w:val="20"/>
          <w:szCs w:val="20"/>
        </w:rPr>
        <w:t xml:space="preserve">, H </w:t>
      </w:r>
      <w:r>
        <w:rPr>
          <w:sz w:val="20"/>
          <w:szCs w:val="20"/>
        </w:rPr>
        <w:t>2021</w:t>
      </w:r>
      <w:r w:rsidR="00A968C3">
        <w:rPr>
          <w:sz w:val="20"/>
          <w:szCs w:val="20"/>
        </w:rPr>
        <w:t xml:space="preserve">, </w:t>
      </w:r>
      <w:r w:rsidRPr="00C278BB">
        <w:rPr>
          <w:i/>
          <w:iCs/>
          <w:sz w:val="20"/>
          <w:szCs w:val="20"/>
        </w:rPr>
        <w:t>How much of global greenhouse gas emissions come from food?</w:t>
      </w:r>
      <w:r>
        <w:rPr>
          <w:sz w:val="20"/>
          <w:szCs w:val="20"/>
        </w:rPr>
        <w:t xml:space="preserve"> Our World in Data. </w:t>
      </w:r>
      <w:hyperlink r:id="rId65" w:history="1">
        <w:r w:rsidRPr="00811712">
          <w:rPr>
            <w:rStyle w:val="Hyperlink"/>
            <w:sz w:val="20"/>
            <w:szCs w:val="20"/>
          </w:rPr>
          <w:t>https://ourworldindata.org/greenhouse-gas-emissions-food</w:t>
        </w:r>
      </w:hyperlink>
    </w:p>
    <w:p w14:paraId="78B334A0" w14:textId="77777777" w:rsidR="00FA1F31" w:rsidRPr="00D7356D" w:rsidRDefault="00FA1F31" w:rsidP="00FA1F31">
      <w:pPr>
        <w:spacing w:after="0" w:line="240" w:lineRule="auto"/>
        <w:rPr>
          <w:i/>
          <w:iCs/>
          <w:sz w:val="20"/>
          <w:szCs w:val="20"/>
        </w:rPr>
      </w:pPr>
      <w:r w:rsidRPr="00D7356D">
        <w:rPr>
          <w:i/>
          <w:iCs/>
          <w:sz w:val="20"/>
          <w:szCs w:val="20"/>
        </w:rPr>
        <w:t>Accessed September 2021</w:t>
      </w:r>
    </w:p>
    <w:p w14:paraId="0DF6D8A3" w14:textId="77777777" w:rsidR="00FA1F31" w:rsidRDefault="00FA1F31" w:rsidP="00FA1F31">
      <w:pPr>
        <w:spacing w:after="0" w:line="240" w:lineRule="auto"/>
        <w:rPr>
          <w:sz w:val="20"/>
          <w:szCs w:val="20"/>
        </w:rPr>
      </w:pPr>
    </w:p>
    <w:p w14:paraId="51E19817" w14:textId="077B0573" w:rsidR="00FA1F31" w:rsidRPr="00601C96" w:rsidRDefault="00A968C3" w:rsidP="00FA1F31">
      <w:pPr>
        <w:spacing w:after="0" w:line="240" w:lineRule="auto"/>
        <w:rPr>
          <w:sz w:val="20"/>
          <w:szCs w:val="20"/>
        </w:rPr>
      </w:pPr>
      <w:r>
        <w:rPr>
          <w:sz w:val="20"/>
          <w:szCs w:val="20"/>
        </w:rPr>
        <w:t xml:space="preserve">SBTi </w:t>
      </w:r>
      <w:r w:rsidR="00FA1F31" w:rsidRPr="00601C96">
        <w:rPr>
          <w:sz w:val="20"/>
          <w:szCs w:val="20"/>
        </w:rPr>
        <w:t>2018</w:t>
      </w:r>
      <w:r>
        <w:rPr>
          <w:sz w:val="20"/>
          <w:szCs w:val="20"/>
        </w:rPr>
        <w:t xml:space="preserve">, </w:t>
      </w:r>
      <w:r w:rsidR="00FA1F31" w:rsidRPr="00601C96">
        <w:rPr>
          <w:sz w:val="20"/>
          <w:szCs w:val="20"/>
        </w:rPr>
        <w:t xml:space="preserve"> </w:t>
      </w:r>
      <w:r w:rsidR="00FA1F31" w:rsidRPr="00601C96">
        <w:rPr>
          <w:i/>
          <w:iCs/>
          <w:sz w:val="20"/>
          <w:szCs w:val="20"/>
        </w:rPr>
        <w:t>Value Change in the Value Chain: Best Practices in Scope 3 Greenhouse Gas Management.</w:t>
      </w:r>
      <w:r w:rsidR="00FA1F31" w:rsidRPr="00601C96">
        <w:rPr>
          <w:sz w:val="20"/>
          <w:szCs w:val="20"/>
        </w:rPr>
        <w:t xml:space="preserve"> Science Based Target initiative. Version 3.0, November 2018</w:t>
      </w:r>
    </w:p>
    <w:p w14:paraId="56949102" w14:textId="77777777" w:rsidR="00FA1F31" w:rsidRDefault="00FA1F31" w:rsidP="00FA1F31">
      <w:pPr>
        <w:spacing w:after="0" w:line="240" w:lineRule="auto"/>
        <w:rPr>
          <w:rFonts w:eastAsiaTheme="minorEastAsia"/>
          <w:sz w:val="20"/>
          <w:szCs w:val="20"/>
        </w:rPr>
      </w:pPr>
    </w:p>
    <w:p w14:paraId="1C8BCDB9" w14:textId="2A229056" w:rsidR="00FA1F31" w:rsidRDefault="00A968C3" w:rsidP="00FA1F31">
      <w:pPr>
        <w:spacing w:after="0" w:line="240" w:lineRule="auto"/>
        <w:rPr>
          <w:rFonts w:eastAsiaTheme="minorEastAsia"/>
          <w:sz w:val="20"/>
          <w:szCs w:val="20"/>
        </w:rPr>
      </w:pPr>
      <w:r>
        <w:rPr>
          <w:rFonts w:eastAsiaTheme="minorEastAsia"/>
          <w:sz w:val="20"/>
          <w:szCs w:val="20"/>
        </w:rPr>
        <w:t>SBTi</w:t>
      </w:r>
      <w:r w:rsidR="002D68E5">
        <w:rPr>
          <w:rFonts w:eastAsiaTheme="minorEastAsia"/>
          <w:sz w:val="20"/>
          <w:szCs w:val="20"/>
        </w:rPr>
        <w:t xml:space="preserve"> </w:t>
      </w:r>
      <w:r w:rsidR="00FA1F31">
        <w:rPr>
          <w:rFonts w:eastAsiaTheme="minorEastAsia"/>
          <w:sz w:val="20"/>
          <w:szCs w:val="20"/>
        </w:rPr>
        <w:t>2020</w:t>
      </w:r>
      <w:r>
        <w:rPr>
          <w:rFonts w:eastAsiaTheme="minorEastAsia"/>
          <w:sz w:val="20"/>
          <w:szCs w:val="20"/>
        </w:rPr>
        <w:t xml:space="preserve">, </w:t>
      </w:r>
      <w:r w:rsidR="00FA1F31" w:rsidRPr="00D7356D">
        <w:rPr>
          <w:rFonts w:eastAsiaTheme="minorEastAsia"/>
          <w:i/>
          <w:iCs/>
          <w:sz w:val="20"/>
          <w:szCs w:val="20"/>
        </w:rPr>
        <w:t>Foundations for Science-based Net-Zero Target Setting in the Corporate Sector</w:t>
      </w:r>
      <w:r w:rsidR="00FA1F31">
        <w:rPr>
          <w:rFonts w:eastAsiaTheme="minorEastAsia"/>
          <w:sz w:val="20"/>
          <w:szCs w:val="20"/>
        </w:rPr>
        <w:t xml:space="preserve">, Version 1.0, September 2020. </w:t>
      </w:r>
      <w:hyperlink r:id="rId66" w:history="1">
        <w:r w:rsidR="00FA1F31" w:rsidRPr="00432264">
          <w:rPr>
            <w:rStyle w:val="Hyperlink"/>
            <w:rFonts w:eastAsiaTheme="minorEastAsia"/>
            <w:sz w:val="20"/>
            <w:szCs w:val="20"/>
          </w:rPr>
          <w:t>https://sciencebasedtargets.org/resources/files/foundations-for-net-zero-full-paper.pdf</w:t>
        </w:r>
      </w:hyperlink>
    </w:p>
    <w:p w14:paraId="3A5FFD70" w14:textId="77777777" w:rsidR="00FA1F31" w:rsidRPr="00D7356D" w:rsidRDefault="00FA1F31" w:rsidP="00FA1F31">
      <w:pPr>
        <w:spacing w:after="0" w:line="240" w:lineRule="auto"/>
        <w:rPr>
          <w:rFonts w:eastAsiaTheme="minorEastAsia"/>
          <w:i/>
          <w:iCs/>
          <w:sz w:val="20"/>
          <w:szCs w:val="20"/>
        </w:rPr>
      </w:pPr>
      <w:r>
        <w:rPr>
          <w:rFonts w:eastAsiaTheme="minorEastAsia"/>
          <w:i/>
          <w:iCs/>
          <w:sz w:val="20"/>
          <w:szCs w:val="20"/>
        </w:rPr>
        <w:t>Accessed October 2021</w:t>
      </w:r>
    </w:p>
    <w:p w14:paraId="0F8A7341" w14:textId="77777777" w:rsidR="00FA1F31" w:rsidRPr="00601C96" w:rsidRDefault="00FA1F31" w:rsidP="00FA1F31">
      <w:pPr>
        <w:spacing w:after="0" w:line="240" w:lineRule="auto"/>
        <w:rPr>
          <w:rFonts w:eastAsiaTheme="minorEastAsia"/>
          <w:sz w:val="20"/>
          <w:szCs w:val="20"/>
        </w:rPr>
      </w:pPr>
    </w:p>
    <w:p w14:paraId="4D74359E" w14:textId="2AF923C7" w:rsidR="00FA1F31" w:rsidRDefault="00A968C3" w:rsidP="00FA1F31">
      <w:pPr>
        <w:spacing w:after="0" w:line="240" w:lineRule="auto"/>
        <w:rPr>
          <w:rFonts w:eastAsiaTheme="minorEastAsia"/>
          <w:sz w:val="20"/>
          <w:szCs w:val="20"/>
        </w:rPr>
      </w:pPr>
      <w:r>
        <w:rPr>
          <w:rFonts w:eastAsiaTheme="minorEastAsia"/>
          <w:sz w:val="20"/>
          <w:szCs w:val="20"/>
        </w:rPr>
        <w:t xml:space="preserve">SBTi </w:t>
      </w:r>
      <w:r w:rsidR="002D68E5">
        <w:rPr>
          <w:rFonts w:eastAsiaTheme="minorEastAsia"/>
          <w:sz w:val="20"/>
          <w:szCs w:val="20"/>
        </w:rPr>
        <w:t xml:space="preserve"> </w:t>
      </w:r>
      <w:r>
        <w:rPr>
          <w:rFonts w:eastAsiaTheme="minorEastAsia"/>
          <w:sz w:val="20"/>
          <w:szCs w:val="20"/>
        </w:rPr>
        <w:t xml:space="preserve">2021, </w:t>
      </w:r>
      <w:r w:rsidR="00FA1F31" w:rsidRPr="00601C96">
        <w:rPr>
          <w:rFonts w:eastAsiaTheme="minorEastAsia"/>
          <w:sz w:val="20"/>
          <w:szCs w:val="20"/>
        </w:rPr>
        <w:t xml:space="preserve"> </w:t>
      </w:r>
      <w:r w:rsidR="00FA1F31" w:rsidRPr="00601C96">
        <w:rPr>
          <w:rFonts w:eastAsiaTheme="minorEastAsia"/>
          <w:i/>
          <w:iCs/>
          <w:sz w:val="20"/>
          <w:szCs w:val="20"/>
        </w:rPr>
        <w:t xml:space="preserve">SBTi Criteria and recommendations. </w:t>
      </w:r>
      <w:r w:rsidR="00FA1F31" w:rsidRPr="00D7356D">
        <w:rPr>
          <w:rFonts w:eastAsiaTheme="minorEastAsia"/>
          <w:sz w:val="20"/>
          <w:szCs w:val="20"/>
        </w:rPr>
        <w:t>TWG-INF-002/Version 4.2 April</w:t>
      </w:r>
      <w:r w:rsidR="00FA1F31" w:rsidRPr="00601C96">
        <w:rPr>
          <w:rFonts w:eastAsiaTheme="minorEastAsia"/>
          <w:sz w:val="20"/>
          <w:szCs w:val="20"/>
        </w:rPr>
        <w:t xml:space="preserve"> 2021</w:t>
      </w:r>
      <w:r w:rsidR="00FA1F31">
        <w:rPr>
          <w:rFonts w:eastAsiaTheme="minorEastAsia"/>
          <w:sz w:val="20"/>
          <w:szCs w:val="20"/>
        </w:rPr>
        <w:t xml:space="preserve">. </w:t>
      </w:r>
      <w:hyperlink r:id="rId67" w:history="1">
        <w:r w:rsidR="00FA1F31" w:rsidRPr="00432264">
          <w:rPr>
            <w:rStyle w:val="Hyperlink"/>
            <w:rFonts w:eastAsiaTheme="minorEastAsia"/>
            <w:sz w:val="20"/>
            <w:szCs w:val="20"/>
          </w:rPr>
          <w:t xml:space="preserve">https://sciencebasedtargets.org/resources/files/SBTi-criteria.pdf </w:t>
        </w:r>
      </w:hyperlink>
    </w:p>
    <w:p w14:paraId="7E39C04B" w14:textId="77777777" w:rsidR="00FA1F31" w:rsidRPr="00DD2DE7" w:rsidRDefault="00FA1F31" w:rsidP="00FA1F31">
      <w:pPr>
        <w:spacing w:after="0" w:line="240" w:lineRule="auto"/>
        <w:rPr>
          <w:rFonts w:eastAsiaTheme="minorEastAsia"/>
          <w:i/>
          <w:iCs/>
          <w:sz w:val="20"/>
          <w:szCs w:val="20"/>
        </w:rPr>
      </w:pPr>
      <w:r>
        <w:rPr>
          <w:rFonts w:eastAsiaTheme="minorEastAsia"/>
          <w:i/>
          <w:iCs/>
          <w:sz w:val="20"/>
          <w:szCs w:val="20"/>
        </w:rPr>
        <w:t>Accessed July 2021</w:t>
      </w:r>
    </w:p>
    <w:p w14:paraId="0892EB8B" w14:textId="77777777" w:rsidR="00FA1F31" w:rsidRDefault="00FA1F31" w:rsidP="00FA1F31">
      <w:pPr>
        <w:spacing w:after="0" w:line="240" w:lineRule="auto"/>
        <w:rPr>
          <w:rFonts w:eastAsiaTheme="minorEastAsia"/>
          <w:sz w:val="20"/>
          <w:szCs w:val="20"/>
        </w:rPr>
      </w:pPr>
    </w:p>
    <w:p w14:paraId="0762F55D" w14:textId="44CF9A96" w:rsidR="00FA1F31" w:rsidRPr="00BD660B" w:rsidRDefault="00A968C3" w:rsidP="00FA1F31">
      <w:pPr>
        <w:spacing w:after="0" w:line="240" w:lineRule="auto"/>
        <w:rPr>
          <w:rFonts w:eastAsiaTheme="minorEastAsia"/>
          <w:sz w:val="20"/>
          <w:szCs w:val="20"/>
        </w:rPr>
      </w:pPr>
      <w:r>
        <w:rPr>
          <w:rFonts w:eastAsiaTheme="minorEastAsia"/>
          <w:sz w:val="20"/>
          <w:szCs w:val="20"/>
        </w:rPr>
        <w:t xml:space="preserve">South Pole </w:t>
      </w:r>
      <w:r w:rsidR="00FA1F31">
        <w:rPr>
          <w:rFonts w:eastAsiaTheme="minorEastAsia"/>
          <w:sz w:val="20"/>
          <w:szCs w:val="20"/>
        </w:rPr>
        <w:t>2020</w:t>
      </w:r>
      <w:r>
        <w:rPr>
          <w:rFonts w:eastAsiaTheme="minorEastAsia"/>
          <w:sz w:val="20"/>
          <w:szCs w:val="20"/>
        </w:rPr>
        <w:t xml:space="preserve">, </w:t>
      </w:r>
      <w:r w:rsidR="00FA1F31" w:rsidRPr="00BD660B">
        <w:rPr>
          <w:rFonts w:eastAsiaTheme="minorEastAsia"/>
          <w:i/>
          <w:iCs/>
          <w:sz w:val="20"/>
          <w:szCs w:val="20"/>
        </w:rPr>
        <w:t>Protocol for Digitalised Monitoring, Reporting and Verification (D-MRV Protocol)</w:t>
      </w:r>
      <w:r w:rsidR="00FA1F31">
        <w:rPr>
          <w:rFonts w:eastAsiaTheme="minorEastAsia"/>
          <w:i/>
          <w:iCs/>
          <w:sz w:val="20"/>
          <w:szCs w:val="20"/>
        </w:rPr>
        <w:t xml:space="preserve">. </w:t>
      </w:r>
      <w:r w:rsidR="00FA1F31">
        <w:rPr>
          <w:rFonts w:eastAsiaTheme="minorEastAsia"/>
          <w:sz w:val="20"/>
          <w:szCs w:val="20"/>
        </w:rPr>
        <w:t xml:space="preserve">Prepared for the European Bank for Reconstruction and Development, London. </w:t>
      </w:r>
    </w:p>
    <w:p w14:paraId="7A6B974C" w14:textId="77777777" w:rsidR="00FA1F31" w:rsidRDefault="00FA1F31" w:rsidP="00FA1F31">
      <w:pPr>
        <w:spacing w:after="0" w:line="240" w:lineRule="auto"/>
        <w:rPr>
          <w:rFonts w:eastAsiaTheme="minorEastAsia"/>
          <w:sz w:val="20"/>
          <w:szCs w:val="20"/>
        </w:rPr>
      </w:pPr>
    </w:p>
    <w:p w14:paraId="0C982663" w14:textId="6D006A7A" w:rsidR="00FA1F31" w:rsidRDefault="00FA1F31" w:rsidP="00FA1F31">
      <w:pPr>
        <w:spacing w:after="0" w:line="240" w:lineRule="auto"/>
        <w:rPr>
          <w:rFonts w:eastAsiaTheme="minorEastAsia"/>
          <w:sz w:val="20"/>
          <w:szCs w:val="20"/>
        </w:rPr>
      </w:pPr>
      <w:r>
        <w:rPr>
          <w:rFonts w:eastAsiaTheme="minorEastAsia"/>
          <w:sz w:val="20"/>
          <w:szCs w:val="20"/>
        </w:rPr>
        <w:t>The Carbon Neutral Protocol</w:t>
      </w:r>
      <w:r w:rsidR="00A968C3">
        <w:rPr>
          <w:rFonts w:eastAsiaTheme="minorEastAsia"/>
          <w:sz w:val="20"/>
          <w:szCs w:val="20"/>
        </w:rPr>
        <w:t xml:space="preserve"> </w:t>
      </w:r>
      <w:r>
        <w:rPr>
          <w:rFonts w:eastAsiaTheme="minorEastAsia"/>
          <w:sz w:val="20"/>
          <w:szCs w:val="20"/>
        </w:rPr>
        <w:t>2020</w:t>
      </w:r>
      <w:r w:rsidR="002D68E5">
        <w:rPr>
          <w:rFonts w:eastAsiaTheme="minorEastAsia"/>
          <w:sz w:val="20"/>
          <w:szCs w:val="20"/>
        </w:rPr>
        <w:t>.</w:t>
      </w:r>
      <w:r>
        <w:rPr>
          <w:rFonts w:eastAsiaTheme="minorEastAsia"/>
          <w:sz w:val="20"/>
          <w:szCs w:val="20"/>
        </w:rPr>
        <w:t xml:space="preserve"> The Carbon Neutral Protocol January 2020. </w:t>
      </w:r>
      <w:hyperlink r:id="rId68" w:history="1">
        <w:r w:rsidRPr="00811712">
          <w:rPr>
            <w:rStyle w:val="Hyperlink"/>
            <w:rFonts w:eastAsiaTheme="minorEastAsia"/>
            <w:sz w:val="20"/>
            <w:szCs w:val="20"/>
          </w:rPr>
          <w:t>https://carbonneutral.com/pdfs/The_CarbonNeutral_Protocol_Jan_2020.pdf</w:t>
        </w:r>
      </w:hyperlink>
    </w:p>
    <w:p w14:paraId="44056D78" w14:textId="77777777" w:rsidR="00FA1F31" w:rsidRPr="00DD2DE7" w:rsidRDefault="00FA1F31" w:rsidP="00FA1F31">
      <w:pPr>
        <w:spacing w:after="0" w:line="240" w:lineRule="auto"/>
        <w:rPr>
          <w:rFonts w:eastAsiaTheme="minorEastAsia"/>
          <w:i/>
          <w:iCs/>
          <w:sz w:val="20"/>
          <w:szCs w:val="20"/>
        </w:rPr>
      </w:pPr>
      <w:r w:rsidRPr="00DD2DE7">
        <w:rPr>
          <w:rFonts w:eastAsiaTheme="minorEastAsia"/>
          <w:i/>
          <w:iCs/>
          <w:sz w:val="20"/>
          <w:szCs w:val="20"/>
        </w:rPr>
        <w:t>Accessed October 2021</w:t>
      </w:r>
    </w:p>
    <w:p w14:paraId="1F4575B4" w14:textId="77777777" w:rsidR="00FA1F31" w:rsidRDefault="00FA1F31" w:rsidP="00FA1F31">
      <w:pPr>
        <w:spacing w:after="0" w:line="240" w:lineRule="auto"/>
        <w:rPr>
          <w:rFonts w:eastAsiaTheme="minorEastAsia"/>
          <w:sz w:val="20"/>
          <w:szCs w:val="20"/>
        </w:rPr>
      </w:pPr>
    </w:p>
    <w:p w14:paraId="46C13D74" w14:textId="2D4D3EB1" w:rsidR="00FA1F31" w:rsidRPr="00DD2DE7" w:rsidRDefault="00FA1F31" w:rsidP="00FA1F31">
      <w:pPr>
        <w:spacing w:after="0" w:line="240" w:lineRule="auto"/>
        <w:rPr>
          <w:rFonts w:eastAsiaTheme="minorEastAsia"/>
          <w:sz w:val="20"/>
          <w:szCs w:val="20"/>
        </w:rPr>
      </w:pPr>
      <w:r w:rsidRPr="00601C96">
        <w:rPr>
          <w:rFonts w:eastAsiaTheme="minorEastAsia"/>
          <w:sz w:val="20"/>
          <w:szCs w:val="20"/>
        </w:rPr>
        <w:t>W</w:t>
      </w:r>
      <w:r w:rsidR="002D68E5">
        <w:rPr>
          <w:rFonts w:eastAsiaTheme="minorEastAsia"/>
          <w:sz w:val="20"/>
          <w:szCs w:val="20"/>
        </w:rPr>
        <w:t>iedemann, S</w:t>
      </w:r>
      <w:r w:rsidR="00A968C3">
        <w:rPr>
          <w:rFonts w:eastAsiaTheme="minorEastAsia"/>
          <w:sz w:val="20"/>
          <w:szCs w:val="20"/>
        </w:rPr>
        <w:t xml:space="preserve"> and Longworth, E</w:t>
      </w:r>
      <w:r w:rsidR="002D68E5">
        <w:rPr>
          <w:rFonts w:eastAsiaTheme="minorEastAsia"/>
          <w:sz w:val="20"/>
          <w:szCs w:val="20"/>
        </w:rPr>
        <w:t xml:space="preserve"> </w:t>
      </w:r>
      <w:r w:rsidRPr="00601C96">
        <w:rPr>
          <w:rFonts w:eastAsiaTheme="minorEastAsia"/>
          <w:sz w:val="20"/>
          <w:szCs w:val="20"/>
        </w:rPr>
        <w:t>2021</w:t>
      </w:r>
      <w:r w:rsidR="00A968C3">
        <w:rPr>
          <w:rFonts w:eastAsiaTheme="minorEastAsia"/>
          <w:sz w:val="20"/>
          <w:szCs w:val="20"/>
        </w:rPr>
        <w:t xml:space="preserve">, </w:t>
      </w:r>
      <w:r w:rsidRPr="00601C96">
        <w:rPr>
          <w:rFonts w:eastAsiaTheme="minorEastAsia"/>
          <w:sz w:val="20"/>
          <w:szCs w:val="20"/>
        </w:rPr>
        <w:t xml:space="preserve"> </w:t>
      </w:r>
      <w:r w:rsidRPr="00601C96">
        <w:rPr>
          <w:rFonts w:eastAsiaTheme="minorEastAsia"/>
          <w:i/>
          <w:iCs/>
          <w:sz w:val="20"/>
          <w:szCs w:val="20"/>
        </w:rPr>
        <w:t xml:space="preserve">Pathways to carbon neutrality for Australian feedlots. </w:t>
      </w:r>
      <w:r w:rsidRPr="00DD2DE7">
        <w:rPr>
          <w:rFonts w:eastAsiaTheme="minorEastAsia"/>
          <w:sz w:val="20"/>
          <w:szCs w:val="20"/>
        </w:rPr>
        <w:t xml:space="preserve">Prepared for Meat and Livestock Australia. </w:t>
      </w:r>
    </w:p>
    <w:p w14:paraId="7E5F546B" w14:textId="77777777" w:rsidR="00FA1F31" w:rsidRPr="00DD2DE7" w:rsidRDefault="00FA1F31" w:rsidP="00FA1F31">
      <w:pPr>
        <w:spacing w:after="0" w:line="240" w:lineRule="auto"/>
        <w:rPr>
          <w:rFonts w:eastAsiaTheme="minorEastAsia"/>
          <w:i/>
          <w:iCs/>
          <w:sz w:val="20"/>
          <w:szCs w:val="20"/>
        </w:rPr>
      </w:pPr>
      <w:r w:rsidRPr="00DD2DE7">
        <w:rPr>
          <w:rFonts w:eastAsiaTheme="minorEastAsia"/>
          <w:i/>
          <w:iCs/>
          <w:sz w:val="20"/>
          <w:szCs w:val="20"/>
        </w:rPr>
        <w:t>Accessed June/July 2021</w:t>
      </w:r>
    </w:p>
    <w:p w14:paraId="2A367F70" w14:textId="77777777" w:rsidR="00FA1F31" w:rsidRDefault="00FA1F31" w:rsidP="00FA1F31">
      <w:pPr>
        <w:spacing w:after="0" w:line="240" w:lineRule="auto"/>
        <w:rPr>
          <w:rFonts w:eastAsiaTheme="minorEastAsia"/>
          <w:sz w:val="20"/>
          <w:szCs w:val="20"/>
        </w:rPr>
      </w:pPr>
    </w:p>
    <w:p w14:paraId="07C3BB31" w14:textId="04E2B6A9" w:rsidR="00FA1F31" w:rsidRDefault="00FA1F31" w:rsidP="00FA1F31">
      <w:pPr>
        <w:spacing w:after="0" w:line="240" w:lineRule="auto"/>
        <w:rPr>
          <w:rFonts w:eastAsiaTheme="minorEastAsia"/>
          <w:sz w:val="20"/>
          <w:szCs w:val="20"/>
        </w:rPr>
      </w:pPr>
      <w:r w:rsidRPr="00601C96">
        <w:rPr>
          <w:rFonts w:eastAsiaTheme="minorEastAsia"/>
          <w:sz w:val="20"/>
          <w:szCs w:val="20"/>
        </w:rPr>
        <w:t xml:space="preserve">World Bank </w:t>
      </w:r>
      <w:r>
        <w:rPr>
          <w:rFonts w:eastAsiaTheme="minorEastAsia"/>
          <w:sz w:val="20"/>
          <w:szCs w:val="20"/>
        </w:rPr>
        <w:t>2021</w:t>
      </w:r>
      <w:r w:rsidR="00A968C3">
        <w:rPr>
          <w:rFonts w:eastAsiaTheme="minorEastAsia"/>
          <w:sz w:val="20"/>
          <w:szCs w:val="20"/>
        </w:rPr>
        <w:t xml:space="preserve">, </w:t>
      </w:r>
      <w:r>
        <w:rPr>
          <w:rFonts w:eastAsiaTheme="minorEastAsia"/>
          <w:sz w:val="20"/>
          <w:szCs w:val="20"/>
        </w:rPr>
        <w:t xml:space="preserve"> The World Bank Climate Change Data. </w:t>
      </w:r>
      <w:hyperlink r:id="rId69" w:history="1">
        <w:r w:rsidRPr="004C5DEE">
          <w:rPr>
            <w:rStyle w:val="Hyperlink"/>
            <w:rFonts w:eastAsiaTheme="minorEastAsia"/>
            <w:sz w:val="20"/>
            <w:szCs w:val="20"/>
          </w:rPr>
          <w:t>https://data.worldbank.org/topic/19</w:t>
        </w:r>
      </w:hyperlink>
    </w:p>
    <w:p w14:paraId="7AF0EF8F" w14:textId="77777777" w:rsidR="00FA1F31" w:rsidRPr="00DD2DE7" w:rsidRDefault="00FA1F31" w:rsidP="00FA1F31">
      <w:pPr>
        <w:spacing w:after="0" w:line="240" w:lineRule="auto"/>
        <w:rPr>
          <w:rFonts w:eastAsiaTheme="minorEastAsia"/>
          <w:i/>
          <w:iCs/>
          <w:sz w:val="20"/>
          <w:szCs w:val="20"/>
        </w:rPr>
      </w:pPr>
      <w:r w:rsidRPr="00DD2DE7">
        <w:rPr>
          <w:rFonts w:eastAsiaTheme="minorEastAsia"/>
          <w:i/>
          <w:iCs/>
          <w:sz w:val="20"/>
          <w:szCs w:val="20"/>
        </w:rPr>
        <w:t>Accessed July 2021</w:t>
      </w:r>
    </w:p>
    <w:p w14:paraId="0D763A07" w14:textId="3F27977F" w:rsidR="00FA1F31" w:rsidRDefault="00FA1F31">
      <w:pPr>
        <w:rPr>
          <w:rFonts w:cs="Arial"/>
        </w:rPr>
      </w:pPr>
      <w:r>
        <w:rPr>
          <w:rFonts w:cs="Arial"/>
        </w:rPr>
        <w:br w:type="page"/>
      </w:r>
    </w:p>
    <w:p w14:paraId="136D9896" w14:textId="77777777" w:rsidR="004A44C2" w:rsidRPr="0017156A" w:rsidRDefault="004A44C2" w:rsidP="004C56C4">
      <w:pPr>
        <w:pStyle w:val="Heading1"/>
        <w:keepLines w:val="0"/>
        <w:numPr>
          <w:ilvl w:val="0"/>
          <w:numId w:val="25"/>
        </w:numPr>
        <w:spacing w:after="240" w:line="240" w:lineRule="auto"/>
        <w:jc w:val="both"/>
      </w:pPr>
      <w:bookmarkStart w:id="82" w:name="_Toc7517360"/>
      <w:bookmarkStart w:id="83" w:name="_Toc43368371"/>
      <w:bookmarkStart w:id="84" w:name="_Toc45718846"/>
      <w:bookmarkStart w:id="85" w:name="_Toc88494299"/>
      <w:r w:rsidRPr="0017156A">
        <w:lastRenderedPageBreak/>
        <w:t>Appendix</w:t>
      </w:r>
      <w:bookmarkEnd w:id="82"/>
      <w:bookmarkEnd w:id="83"/>
      <w:bookmarkEnd w:id="84"/>
      <w:bookmarkEnd w:id="85"/>
    </w:p>
    <w:p w14:paraId="5967F9DE" w14:textId="77777777" w:rsidR="00B67489" w:rsidRPr="00B67489" w:rsidRDefault="00B67489" w:rsidP="00B67489">
      <w:pPr>
        <w:pStyle w:val="ListParagraph"/>
        <w:keepNext/>
        <w:numPr>
          <w:ilvl w:val="0"/>
          <w:numId w:val="13"/>
        </w:numPr>
        <w:tabs>
          <w:tab w:val="left" w:pos="709"/>
        </w:tabs>
        <w:spacing w:before="240" w:after="240" w:line="240" w:lineRule="auto"/>
        <w:contextualSpacing w:val="0"/>
        <w:jc w:val="both"/>
        <w:outlineLvl w:val="1"/>
        <w:rPr>
          <w:rFonts w:cs="Arial"/>
          <w:b/>
          <w:vanish/>
          <w:sz w:val="28"/>
          <w:szCs w:val="24"/>
        </w:rPr>
      </w:pPr>
      <w:bookmarkStart w:id="86" w:name="_Toc7517361"/>
      <w:bookmarkStart w:id="87" w:name="_Toc43368372"/>
    </w:p>
    <w:p w14:paraId="0F1C9BF9" w14:textId="77777777" w:rsidR="00B67489" w:rsidRPr="00B67489" w:rsidRDefault="00B67489" w:rsidP="00B67489">
      <w:pPr>
        <w:pStyle w:val="ListParagraph"/>
        <w:keepNext/>
        <w:numPr>
          <w:ilvl w:val="0"/>
          <w:numId w:val="13"/>
        </w:numPr>
        <w:tabs>
          <w:tab w:val="left" w:pos="709"/>
        </w:tabs>
        <w:spacing w:before="240" w:after="240" w:line="240" w:lineRule="auto"/>
        <w:contextualSpacing w:val="0"/>
        <w:jc w:val="both"/>
        <w:outlineLvl w:val="1"/>
        <w:rPr>
          <w:rFonts w:cs="Arial"/>
          <w:b/>
          <w:vanish/>
          <w:sz w:val="28"/>
          <w:szCs w:val="24"/>
        </w:rPr>
      </w:pPr>
    </w:p>
    <w:p w14:paraId="0CCEA8AD" w14:textId="77777777" w:rsidR="00B67489" w:rsidRPr="00B67489" w:rsidRDefault="00B67489" w:rsidP="00B67489">
      <w:pPr>
        <w:pStyle w:val="ListParagraph"/>
        <w:keepNext/>
        <w:numPr>
          <w:ilvl w:val="0"/>
          <w:numId w:val="13"/>
        </w:numPr>
        <w:tabs>
          <w:tab w:val="left" w:pos="709"/>
        </w:tabs>
        <w:spacing w:before="240" w:after="240" w:line="240" w:lineRule="auto"/>
        <w:contextualSpacing w:val="0"/>
        <w:jc w:val="both"/>
        <w:outlineLvl w:val="1"/>
        <w:rPr>
          <w:rFonts w:cs="Arial"/>
          <w:b/>
          <w:vanish/>
          <w:sz w:val="28"/>
          <w:szCs w:val="24"/>
        </w:rPr>
      </w:pPr>
    </w:p>
    <w:p w14:paraId="6E836CA2" w14:textId="579867B0" w:rsidR="004A44C2" w:rsidRPr="0017156A" w:rsidRDefault="004A44C2" w:rsidP="00B67489">
      <w:pPr>
        <w:pStyle w:val="Heading2"/>
      </w:pPr>
      <w:r>
        <w:t xml:space="preserve">  </w:t>
      </w:r>
      <w:bookmarkStart w:id="88" w:name="_Toc45718847"/>
      <w:bookmarkStart w:id="89" w:name="_Toc88494300"/>
      <w:r w:rsidR="00FA1F31" w:rsidRPr="00FA1F31">
        <w:t>Walk through the SustainCERT Platform</w:t>
      </w:r>
      <w:bookmarkEnd w:id="89"/>
      <w:r w:rsidR="00FA1F31" w:rsidRPr="00FA1F31">
        <w:t xml:space="preserve"> </w:t>
      </w:r>
      <w:bookmarkEnd w:id="86"/>
      <w:bookmarkEnd w:id="87"/>
      <w:bookmarkEnd w:id="88"/>
      <w:r w:rsidRPr="0017156A">
        <w:t xml:space="preserve"> </w:t>
      </w:r>
    </w:p>
    <w:p w14:paraId="4DFA68D2" w14:textId="77777777" w:rsidR="00FA1F31" w:rsidRDefault="00FA1F31" w:rsidP="00FA1F31">
      <w:pPr>
        <w:ind w:left="360"/>
      </w:pPr>
      <w:r w:rsidRPr="095B308B">
        <w:t xml:space="preserve">The </w:t>
      </w:r>
      <w:r>
        <w:t>u</w:t>
      </w:r>
      <w:r w:rsidRPr="095B308B">
        <w:t xml:space="preserve">ser </w:t>
      </w:r>
      <w:r>
        <w:t>(owner/investor of the intervention or designated individual) logs in</w:t>
      </w:r>
      <w:r w:rsidRPr="095B308B">
        <w:t xml:space="preserve"> to the platform</w:t>
      </w:r>
      <w:r w:rsidRPr="35BAD34C">
        <w:t>.</w:t>
      </w:r>
    </w:p>
    <w:p w14:paraId="1A942585" w14:textId="77777777" w:rsidR="00FA1F31" w:rsidRPr="00361491" w:rsidRDefault="00FA1F31" w:rsidP="00FA1F31">
      <w:pPr>
        <w:ind w:left="360"/>
      </w:pPr>
      <w:r>
        <w:rPr>
          <w:noProof/>
          <w:color w:val="2B579A"/>
          <w:shd w:val="clear" w:color="auto" w:fill="E6E6E6"/>
          <w:lang w:eastAsia="en-AU"/>
        </w:rPr>
        <w:drawing>
          <wp:inline distT="0" distB="0" distL="0" distR="0" wp14:anchorId="00119CCB" wp14:editId="3EB8CE72">
            <wp:extent cx="5715000" cy="2809875"/>
            <wp:effectExtent l="0" t="0" r="0" b="9525"/>
            <wp:docPr id="770455281" name="Picture 77045528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45528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18556" cy="2811623"/>
                    </a:xfrm>
                    <a:prstGeom prst="rect">
                      <a:avLst/>
                    </a:prstGeom>
                  </pic:spPr>
                </pic:pic>
              </a:graphicData>
            </a:graphic>
          </wp:inline>
        </w:drawing>
      </w:r>
    </w:p>
    <w:p w14:paraId="40702201" w14:textId="77777777" w:rsidR="00FA1F31" w:rsidRDefault="00FA1F31" w:rsidP="00FA1F31">
      <w:pPr>
        <w:ind w:left="360"/>
      </w:pPr>
    </w:p>
    <w:p w14:paraId="28D54D2B" w14:textId="77777777" w:rsidR="00FA1F31" w:rsidRDefault="00FA1F31" w:rsidP="00FA1F31">
      <w:pPr>
        <w:ind w:left="360"/>
      </w:pPr>
      <w:r>
        <w:t>The user can register an intervention for the certification module.</w:t>
      </w:r>
    </w:p>
    <w:p w14:paraId="19FE2511" w14:textId="77777777" w:rsidR="00FA1F31" w:rsidRDefault="00FA1F31" w:rsidP="00FA1F31">
      <w:pPr>
        <w:ind w:left="360"/>
      </w:pPr>
      <w:r w:rsidRPr="00601C96">
        <w:rPr>
          <w:noProof/>
          <w:color w:val="2B579A"/>
          <w:shd w:val="clear" w:color="auto" w:fill="E6E6E6"/>
          <w:lang w:eastAsia="en-AU"/>
        </w:rPr>
        <w:drawing>
          <wp:inline distT="0" distB="0" distL="0" distR="0" wp14:anchorId="52D4B5D2" wp14:editId="45500890">
            <wp:extent cx="5706110" cy="3255010"/>
            <wp:effectExtent l="19050" t="19050" r="27940"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06110" cy="3255010"/>
                    </a:xfrm>
                    <a:prstGeom prst="rect">
                      <a:avLst/>
                    </a:prstGeom>
                    <a:noFill/>
                    <a:ln>
                      <a:solidFill>
                        <a:schemeClr val="tx1"/>
                      </a:solidFill>
                    </a:ln>
                  </pic:spPr>
                </pic:pic>
              </a:graphicData>
            </a:graphic>
          </wp:inline>
        </w:drawing>
      </w:r>
    </w:p>
    <w:p w14:paraId="45E0CABA" w14:textId="77777777" w:rsidR="00FA1F31" w:rsidRDefault="00FA1F31" w:rsidP="00FA1F31">
      <w:pPr>
        <w:ind w:left="360"/>
      </w:pPr>
    </w:p>
    <w:p w14:paraId="5BCE1B55" w14:textId="77777777" w:rsidR="00FA1F31" w:rsidRDefault="00FA1F31" w:rsidP="00FA1F31">
      <w:pPr>
        <w:ind w:left="360"/>
      </w:pPr>
      <w:r>
        <w:t>Once the project has been created and verified, the user can see all of their interventions and the related impact units in the My Wallet screen. Here the user also has the possibility to claim the units, make a direct transfer, or make them available on the Marketplace.</w:t>
      </w:r>
    </w:p>
    <w:p w14:paraId="0CFB7CF3" w14:textId="77777777" w:rsidR="00FA1F31" w:rsidRDefault="00FA1F31" w:rsidP="00FA1F31">
      <w:pPr>
        <w:ind w:left="360"/>
      </w:pPr>
      <w:r w:rsidRPr="00601C96">
        <w:rPr>
          <w:noProof/>
          <w:color w:val="2B579A"/>
          <w:shd w:val="clear" w:color="auto" w:fill="E6E6E6"/>
          <w:lang w:eastAsia="en-AU"/>
        </w:rPr>
        <w:lastRenderedPageBreak/>
        <w:drawing>
          <wp:inline distT="0" distB="0" distL="0" distR="0" wp14:anchorId="2A655CE6" wp14:editId="0DA99C34">
            <wp:extent cx="5657215" cy="3523615"/>
            <wp:effectExtent l="19050" t="19050" r="19685" b="19685"/>
            <wp:docPr id="16551136" name="Picture 1655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57215" cy="3523615"/>
                    </a:xfrm>
                    <a:prstGeom prst="rect">
                      <a:avLst/>
                    </a:prstGeom>
                    <a:noFill/>
                    <a:ln>
                      <a:solidFill>
                        <a:schemeClr val="tx1"/>
                      </a:solidFill>
                    </a:ln>
                  </pic:spPr>
                </pic:pic>
              </a:graphicData>
            </a:graphic>
          </wp:inline>
        </w:drawing>
      </w:r>
    </w:p>
    <w:p w14:paraId="26F52D6D" w14:textId="77777777" w:rsidR="00FA1F31" w:rsidRDefault="00FA1F31" w:rsidP="00FA1F31">
      <w:pPr>
        <w:ind w:left="360"/>
      </w:pPr>
    </w:p>
    <w:p w14:paraId="26DC7C73" w14:textId="77777777" w:rsidR="00FA1F31" w:rsidRDefault="00FA1F31" w:rsidP="00FA1F31">
      <w:pPr>
        <w:ind w:left="360"/>
      </w:pPr>
      <w:r>
        <w:t>All the units that are made available can then be browsed by other users (potential buyer) in the Marketplace.</w:t>
      </w:r>
    </w:p>
    <w:p w14:paraId="739F170C" w14:textId="77777777" w:rsidR="00FA1F31" w:rsidRPr="00361491" w:rsidRDefault="00FA1F31" w:rsidP="00FA1F31">
      <w:pPr>
        <w:ind w:left="360"/>
      </w:pPr>
      <w:r w:rsidRPr="0097278A">
        <w:rPr>
          <w:noProof/>
          <w:color w:val="2B579A"/>
          <w:shd w:val="clear" w:color="auto" w:fill="E6E6E6"/>
          <w:lang w:eastAsia="en-AU"/>
        </w:rPr>
        <w:drawing>
          <wp:inline distT="0" distB="0" distL="0" distR="0" wp14:anchorId="3EDA36A8" wp14:editId="546F949C">
            <wp:extent cx="5693410" cy="3242945"/>
            <wp:effectExtent l="19050" t="19050" r="21590" b="14605"/>
            <wp:docPr id="16551137" name="Picture 1655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93410" cy="3242945"/>
                    </a:xfrm>
                    <a:prstGeom prst="rect">
                      <a:avLst/>
                    </a:prstGeom>
                    <a:noFill/>
                    <a:ln>
                      <a:solidFill>
                        <a:schemeClr val="tx1"/>
                      </a:solidFill>
                    </a:ln>
                  </pic:spPr>
                </pic:pic>
              </a:graphicData>
            </a:graphic>
          </wp:inline>
        </w:drawing>
      </w:r>
    </w:p>
    <w:p w14:paraId="39442E4E" w14:textId="77777777" w:rsidR="00FA1F31" w:rsidRDefault="00FA1F31" w:rsidP="00FA1F31">
      <w:pPr>
        <w:ind w:left="360"/>
      </w:pPr>
    </w:p>
    <w:p w14:paraId="07B1456C" w14:textId="77777777" w:rsidR="00FA1F31" w:rsidRDefault="00FA1F31" w:rsidP="00FA1F31">
      <w:pPr>
        <w:ind w:left="360"/>
      </w:pPr>
      <w:r>
        <w:lastRenderedPageBreak/>
        <w:t>For a buyer to find the most relevant impact units for their use, the Marketplace allows to filter the results according to all shown criteria such as supply shed, year, impact layer and so forth.</w:t>
      </w:r>
      <w:r w:rsidRPr="0097278A">
        <w:t xml:space="preserve"> </w:t>
      </w:r>
      <w:r w:rsidRPr="0097278A">
        <w:rPr>
          <w:noProof/>
          <w:color w:val="2B579A"/>
          <w:shd w:val="clear" w:color="auto" w:fill="E6E6E6"/>
          <w:lang w:eastAsia="en-AU"/>
        </w:rPr>
        <w:drawing>
          <wp:inline distT="0" distB="0" distL="0" distR="0" wp14:anchorId="57A50CBF" wp14:editId="71E6E0B0">
            <wp:extent cx="5681345" cy="3230880"/>
            <wp:effectExtent l="19050" t="19050" r="14605" b="26670"/>
            <wp:docPr id="16551138" name="Picture 1655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81345" cy="3230880"/>
                    </a:xfrm>
                    <a:prstGeom prst="rect">
                      <a:avLst/>
                    </a:prstGeom>
                    <a:noFill/>
                    <a:ln>
                      <a:solidFill>
                        <a:schemeClr val="tx1"/>
                      </a:solidFill>
                    </a:ln>
                  </pic:spPr>
                </pic:pic>
              </a:graphicData>
            </a:graphic>
          </wp:inline>
        </w:drawing>
      </w:r>
    </w:p>
    <w:p w14:paraId="36C106F8" w14:textId="77777777" w:rsidR="00FA1F31" w:rsidRDefault="00FA1F31" w:rsidP="00FA1F31">
      <w:pPr>
        <w:ind w:left="360"/>
      </w:pPr>
      <w:r>
        <w:t>Once a buyer finds an impact unit that is relevant, the platform offers the possibility to request this unit from the seller, which initiates the transfer process between seller and buyer.</w:t>
      </w:r>
    </w:p>
    <w:p w14:paraId="26351D8E" w14:textId="77777777" w:rsidR="00FA1F31" w:rsidRDefault="00FA1F31" w:rsidP="00FA1F31">
      <w:pPr>
        <w:ind w:left="360"/>
      </w:pPr>
      <w:r w:rsidRPr="0097278A">
        <w:rPr>
          <w:noProof/>
          <w:color w:val="2B579A"/>
          <w:shd w:val="clear" w:color="auto" w:fill="E6E6E6"/>
          <w:lang w:eastAsia="en-AU"/>
        </w:rPr>
        <w:drawing>
          <wp:inline distT="0" distB="0" distL="0" distR="0" wp14:anchorId="4146AFF5" wp14:editId="4FD912C2">
            <wp:extent cx="5693410" cy="3242945"/>
            <wp:effectExtent l="0" t="0" r="2540" b="0"/>
            <wp:docPr id="16551139" name="Picture 1655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93410" cy="3242945"/>
                    </a:xfrm>
                    <a:prstGeom prst="rect">
                      <a:avLst/>
                    </a:prstGeom>
                    <a:noFill/>
                    <a:ln>
                      <a:noFill/>
                    </a:ln>
                  </pic:spPr>
                </pic:pic>
              </a:graphicData>
            </a:graphic>
          </wp:inline>
        </w:drawing>
      </w:r>
    </w:p>
    <w:p w14:paraId="5EBB92AC" w14:textId="77777777" w:rsidR="00FA1F31" w:rsidRDefault="00FA1F31" w:rsidP="00FA1F31">
      <w:pPr>
        <w:ind w:left="360"/>
      </w:pPr>
    </w:p>
    <w:p w14:paraId="5CF6B244" w14:textId="77777777" w:rsidR="00FA1F31" w:rsidRDefault="00FA1F31" w:rsidP="00FA1F31">
      <w:pPr>
        <w:ind w:left="360"/>
      </w:pPr>
      <w:r>
        <w:t>Finally, the impact unit can be claimed for reporting purposes in the related impact layer of the user. For this, the user must provide a proof for sourcing at least the claimed amount of goods from the respective supply shed. After the transaction is completed, a draft report for the emission factor calculations can be created.</w:t>
      </w:r>
    </w:p>
    <w:p w14:paraId="7F21B61D" w14:textId="77777777" w:rsidR="00FA1F31" w:rsidRDefault="00FA1F31" w:rsidP="00FA1F31">
      <w:pPr>
        <w:ind w:left="360"/>
      </w:pPr>
      <w:r w:rsidRPr="0097278A">
        <w:rPr>
          <w:noProof/>
          <w:color w:val="2B579A"/>
          <w:shd w:val="clear" w:color="auto" w:fill="E6E6E6"/>
          <w:lang w:eastAsia="en-AU"/>
        </w:rPr>
        <w:lastRenderedPageBreak/>
        <w:drawing>
          <wp:inline distT="0" distB="0" distL="0" distR="0" wp14:anchorId="55B184A0" wp14:editId="1639DA66">
            <wp:extent cx="5669280" cy="3218815"/>
            <wp:effectExtent l="19050" t="19050" r="26670" b="19685"/>
            <wp:docPr id="16551140" name="Picture 1655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69280" cy="3218815"/>
                    </a:xfrm>
                    <a:prstGeom prst="rect">
                      <a:avLst/>
                    </a:prstGeom>
                    <a:noFill/>
                    <a:ln>
                      <a:solidFill>
                        <a:schemeClr val="tx1"/>
                      </a:solidFill>
                    </a:ln>
                  </pic:spPr>
                </pic:pic>
              </a:graphicData>
            </a:graphic>
          </wp:inline>
        </w:drawing>
      </w:r>
    </w:p>
    <w:p w14:paraId="3AFD8CD7" w14:textId="5055C232" w:rsidR="00F9754D" w:rsidRDefault="00FA1F31" w:rsidP="00FA1F31">
      <w:r>
        <w:t>The final report provides a summary of the resulting emission factor at the impact layer of the user as well as a detailed calculation table showing the accumulated emission factors over all related impact layers. In this section of the report, the user has the opportunity to change the allocation factor and emission factors of each impact layer to align with the current reporting standards.</w:t>
      </w:r>
    </w:p>
    <w:p w14:paraId="0507E051" w14:textId="1F2648CA" w:rsidR="002D68E5" w:rsidRPr="00BC4873" w:rsidRDefault="002D68E5" w:rsidP="00FA1F31">
      <w:pPr>
        <w:rPr>
          <w:rFonts w:cstheme="minorHAnsi"/>
          <w:i/>
        </w:rPr>
      </w:pPr>
      <w:r w:rsidRPr="0097278A">
        <w:rPr>
          <w:noProof/>
          <w:color w:val="2B579A"/>
          <w:shd w:val="clear" w:color="auto" w:fill="E6E6E6"/>
          <w:lang w:eastAsia="en-AU"/>
        </w:rPr>
        <w:drawing>
          <wp:inline distT="0" distB="0" distL="0" distR="0" wp14:anchorId="1AC3389D" wp14:editId="4E5FA099">
            <wp:extent cx="5730240" cy="3913505"/>
            <wp:effectExtent l="0" t="0" r="3810" b="0"/>
            <wp:docPr id="16551141" name="Picture 1655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0240" cy="3913505"/>
                    </a:xfrm>
                    <a:prstGeom prst="rect">
                      <a:avLst/>
                    </a:prstGeom>
                    <a:noFill/>
                    <a:ln>
                      <a:noFill/>
                    </a:ln>
                  </pic:spPr>
                </pic:pic>
              </a:graphicData>
            </a:graphic>
          </wp:inline>
        </w:drawing>
      </w:r>
    </w:p>
    <w:sectPr w:rsidR="002D68E5" w:rsidRPr="00BC4873" w:rsidSect="00E8714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8769CC" w14:textId="77777777" w:rsidR="00D74D9D" w:rsidRDefault="00D74D9D" w:rsidP="00080A91">
      <w:pPr>
        <w:spacing w:after="0" w:line="240" w:lineRule="auto"/>
      </w:pPr>
      <w:r>
        <w:separator/>
      </w:r>
    </w:p>
  </w:endnote>
  <w:endnote w:type="continuationSeparator" w:id="0">
    <w:p w14:paraId="19CB45AC" w14:textId="77777777" w:rsidR="00D74D9D" w:rsidRDefault="00D74D9D" w:rsidP="00080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375088830"/>
      <w:docPartObj>
        <w:docPartGallery w:val="Page Numbers (Bottom of Page)"/>
        <w:docPartUnique/>
      </w:docPartObj>
    </w:sdtPr>
    <w:sdtContent>
      <w:sdt>
        <w:sdtPr>
          <w:rPr>
            <w:sz w:val="18"/>
            <w:szCs w:val="18"/>
          </w:rPr>
          <w:id w:val="-768540656"/>
          <w:docPartObj>
            <w:docPartGallery w:val="Page Numbers (Top of Page)"/>
            <w:docPartUnique/>
          </w:docPartObj>
        </w:sdtPr>
        <w:sdtContent>
          <w:p w14:paraId="2FC0908D" w14:textId="274FA32B" w:rsidR="00D74D9D" w:rsidRPr="009F2490" w:rsidRDefault="00D74D9D">
            <w:pPr>
              <w:pStyle w:val="Footer"/>
              <w:jc w:val="right"/>
              <w:rPr>
                <w:sz w:val="18"/>
                <w:szCs w:val="18"/>
              </w:rPr>
            </w:pPr>
            <w:r w:rsidRPr="009F2490">
              <w:rPr>
                <w:sz w:val="18"/>
                <w:szCs w:val="18"/>
              </w:rPr>
              <w:t xml:space="preserve">Page </w:t>
            </w:r>
            <w:r w:rsidRPr="009F2490">
              <w:rPr>
                <w:b/>
                <w:bCs/>
                <w:color w:val="2B579A"/>
                <w:sz w:val="18"/>
                <w:szCs w:val="18"/>
                <w:shd w:val="clear" w:color="auto" w:fill="E6E6E6"/>
              </w:rPr>
              <w:fldChar w:fldCharType="begin"/>
            </w:r>
            <w:r w:rsidRPr="009F2490">
              <w:rPr>
                <w:b/>
                <w:bCs/>
                <w:sz w:val="18"/>
                <w:szCs w:val="18"/>
              </w:rPr>
              <w:instrText xml:space="preserve"> PAGE </w:instrText>
            </w:r>
            <w:r w:rsidRPr="009F2490">
              <w:rPr>
                <w:b/>
                <w:bCs/>
                <w:color w:val="2B579A"/>
                <w:sz w:val="18"/>
                <w:szCs w:val="18"/>
                <w:shd w:val="clear" w:color="auto" w:fill="E6E6E6"/>
              </w:rPr>
              <w:fldChar w:fldCharType="separate"/>
            </w:r>
            <w:r w:rsidR="0062683A">
              <w:rPr>
                <w:b/>
                <w:bCs/>
                <w:noProof/>
                <w:sz w:val="18"/>
                <w:szCs w:val="18"/>
              </w:rPr>
              <w:t>4</w:t>
            </w:r>
            <w:r w:rsidRPr="009F2490">
              <w:rPr>
                <w:b/>
                <w:bCs/>
                <w:color w:val="2B579A"/>
                <w:sz w:val="18"/>
                <w:szCs w:val="18"/>
                <w:shd w:val="clear" w:color="auto" w:fill="E6E6E6"/>
              </w:rPr>
              <w:fldChar w:fldCharType="end"/>
            </w:r>
            <w:r w:rsidRPr="009F2490">
              <w:rPr>
                <w:sz w:val="18"/>
                <w:szCs w:val="18"/>
              </w:rPr>
              <w:t xml:space="preserve"> of </w:t>
            </w:r>
            <w:r w:rsidRPr="009F2490">
              <w:rPr>
                <w:b/>
                <w:bCs/>
                <w:color w:val="2B579A"/>
                <w:sz w:val="18"/>
                <w:szCs w:val="18"/>
                <w:shd w:val="clear" w:color="auto" w:fill="E6E6E6"/>
              </w:rPr>
              <w:fldChar w:fldCharType="begin"/>
            </w:r>
            <w:r w:rsidRPr="009F2490">
              <w:rPr>
                <w:b/>
                <w:bCs/>
                <w:sz w:val="18"/>
                <w:szCs w:val="18"/>
              </w:rPr>
              <w:instrText xml:space="preserve"> NUMPAGES  </w:instrText>
            </w:r>
            <w:r w:rsidRPr="009F2490">
              <w:rPr>
                <w:b/>
                <w:bCs/>
                <w:color w:val="2B579A"/>
                <w:sz w:val="18"/>
                <w:szCs w:val="18"/>
                <w:shd w:val="clear" w:color="auto" w:fill="E6E6E6"/>
              </w:rPr>
              <w:fldChar w:fldCharType="separate"/>
            </w:r>
            <w:r w:rsidR="0062683A">
              <w:rPr>
                <w:b/>
                <w:bCs/>
                <w:noProof/>
                <w:sz w:val="18"/>
                <w:szCs w:val="18"/>
              </w:rPr>
              <w:t>55</w:t>
            </w:r>
            <w:r w:rsidRPr="009F2490">
              <w:rPr>
                <w:b/>
                <w:bCs/>
                <w:color w:val="2B579A"/>
                <w:sz w:val="18"/>
                <w:szCs w:val="18"/>
                <w:shd w:val="clear" w:color="auto" w:fill="E6E6E6"/>
              </w:rPr>
              <w:fldChar w:fldCharType="end"/>
            </w:r>
          </w:p>
        </w:sdtContent>
      </w:sdt>
    </w:sdtContent>
  </w:sdt>
  <w:p w14:paraId="09763064" w14:textId="77777777" w:rsidR="00D74D9D" w:rsidRDefault="00D74D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120451799"/>
      <w:docPartObj>
        <w:docPartGallery w:val="Page Numbers (Bottom of Page)"/>
        <w:docPartUnique/>
      </w:docPartObj>
    </w:sdtPr>
    <w:sdtContent>
      <w:sdt>
        <w:sdtPr>
          <w:rPr>
            <w:sz w:val="18"/>
            <w:szCs w:val="18"/>
          </w:rPr>
          <w:id w:val="-1769616900"/>
          <w:docPartObj>
            <w:docPartGallery w:val="Page Numbers (Top of Page)"/>
            <w:docPartUnique/>
          </w:docPartObj>
        </w:sdtPr>
        <w:sdtContent>
          <w:p w14:paraId="777FD734" w14:textId="76FB58E0" w:rsidR="00D74D9D" w:rsidRPr="009F2490" w:rsidRDefault="00D74D9D">
            <w:pPr>
              <w:pStyle w:val="Footer"/>
              <w:jc w:val="right"/>
              <w:rPr>
                <w:sz w:val="18"/>
                <w:szCs w:val="18"/>
              </w:rPr>
            </w:pPr>
            <w:r w:rsidRPr="009F2490">
              <w:rPr>
                <w:sz w:val="18"/>
                <w:szCs w:val="18"/>
              </w:rPr>
              <w:t xml:space="preserve">Page </w:t>
            </w:r>
            <w:r w:rsidRPr="009F2490">
              <w:rPr>
                <w:b/>
                <w:bCs/>
                <w:sz w:val="18"/>
                <w:szCs w:val="18"/>
              </w:rPr>
              <w:fldChar w:fldCharType="begin"/>
            </w:r>
            <w:r w:rsidRPr="009F2490">
              <w:rPr>
                <w:b/>
                <w:bCs/>
                <w:sz w:val="18"/>
                <w:szCs w:val="18"/>
              </w:rPr>
              <w:instrText xml:space="preserve"> PAGE </w:instrText>
            </w:r>
            <w:r w:rsidRPr="009F2490">
              <w:rPr>
                <w:b/>
                <w:bCs/>
                <w:sz w:val="18"/>
                <w:szCs w:val="18"/>
              </w:rPr>
              <w:fldChar w:fldCharType="separate"/>
            </w:r>
            <w:r w:rsidR="0062683A">
              <w:rPr>
                <w:b/>
                <w:bCs/>
                <w:noProof/>
                <w:sz w:val="18"/>
                <w:szCs w:val="18"/>
              </w:rPr>
              <w:t>33</w:t>
            </w:r>
            <w:r w:rsidRPr="009F2490">
              <w:rPr>
                <w:b/>
                <w:bCs/>
                <w:sz w:val="18"/>
                <w:szCs w:val="18"/>
              </w:rPr>
              <w:fldChar w:fldCharType="end"/>
            </w:r>
            <w:r w:rsidRPr="009F2490">
              <w:rPr>
                <w:sz w:val="18"/>
                <w:szCs w:val="18"/>
              </w:rPr>
              <w:t xml:space="preserve"> of </w:t>
            </w:r>
            <w:r w:rsidRPr="009F2490">
              <w:rPr>
                <w:b/>
                <w:bCs/>
                <w:sz w:val="18"/>
                <w:szCs w:val="18"/>
              </w:rPr>
              <w:fldChar w:fldCharType="begin"/>
            </w:r>
            <w:r w:rsidRPr="009F2490">
              <w:rPr>
                <w:b/>
                <w:bCs/>
                <w:sz w:val="18"/>
                <w:szCs w:val="18"/>
              </w:rPr>
              <w:instrText xml:space="preserve"> NUMPAGES  </w:instrText>
            </w:r>
            <w:r w:rsidRPr="009F2490">
              <w:rPr>
                <w:b/>
                <w:bCs/>
                <w:sz w:val="18"/>
                <w:szCs w:val="18"/>
              </w:rPr>
              <w:fldChar w:fldCharType="separate"/>
            </w:r>
            <w:r w:rsidR="0062683A">
              <w:rPr>
                <w:b/>
                <w:bCs/>
                <w:noProof/>
                <w:sz w:val="18"/>
                <w:szCs w:val="18"/>
              </w:rPr>
              <w:t>55</w:t>
            </w:r>
            <w:r w:rsidRPr="009F2490">
              <w:rPr>
                <w:b/>
                <w:bCs/>
                <w:sz w:val="18"/>
                <w:szCs w:val="18"/>
              </w:rPr>
              <w:fldChar w:fldCharType="end"/>
            </w:r>
          </w:p>
        </w:sdtContent>
      </w:sdt>
    </w:sdtContent>
  </w:sdt>
  <w:p w14:paraId="337C6A98" w14:textId="77777777" w:rsidR="00D74D9D" w:rsidRDefault="00D74D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9751E4" w14:textId="77777777" w:rsidR="00D74D9D" w:rsidRDefault="00D74D9D" w:rsidP="00080A91">
      <w:pPr>
        <w:spacing w:after="0" w:line="240" w:lineRule="auto"/>
      </w:pPr>
      <w:r>
        <w:separator/>
      </w:r>
    </w:p>
  </w:footnote>
  <w:footnote w:type="continuationSeparator" w:id="0">
    <w:p w14:paraId="1BFF3D64" w14:textId="77777777" w:rsidR="00D74D9D" w:rsidRDefault="00D74D9D" w:rsidP="00080A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CDE10" w14:textId="77777777" w:rsidR="00D74D9D" w:rsidRPr="00821556" w:rsidRDefault="00D74D9D" w:rsidP="009F2490">
    <w:pPr>
      <w:pStyle w:val="Header"/>
      <w:pBdr>
        <w:bottom w:val="single" w:sz="4" w:space="1" w:color="auto"/>
      </w:pBdr>
      <w:jc w:val="right"/>
      <w:rPr>
        <w:sz w:val="18"/>
        <w:szCs w:val="18"/>
      </w:rPr>
    </w:pPr>
    <w:sdt>
      <w:sdtPr>
        <w:rPr>
          <w:rFonts w:cs="Arial"/>
          <w:color w:val="2B579A"/>
          <w:sz w:val="18"/>
          <w:szCs w:val="18"/>
          <w:shd w:val="clear" w:color="auto" w:fill="E6E6E6"/>
        </w:rPr>
        <w:id w:val="-1401831145"/>
        <w:text/>
      </w:sdtPr>
      <w:sdtContent>
        <w:r>
          <w:rPr>
            <w:rFonts w:cs="Arial"/>
            <w:sz w:val="18"/>
            <w:szCs w:val="18"/>
          </w:rPr>
          <w:t>P</w:t>
        </w:r>
        <w:r w:rsidRPr="00340414">
          <w:rPr>
            <w:rFonts w:cs="Arial"/>
            <w:sz w:val="18"/>
            <w:szCs w:val="18"/>
          </w:rPr>
          <w:t>.</w:t>
        </w:r>
        <w:r>
          <w:rPr>
            <w:rFonts w:cs="Arial"/>
            <w:sz w:val="18"/>
            <w:szCs w:val="18"/>
          </w:rPr>
          <w:t>PSH</w:t>
        </w:r>
        <w:r w:rsidRPr="00340414">
          <w:rPr>
            <w:rFonts w:cs="Arial"/>
            <w:sz w:val="18"/>
            <w:szCs w:val="18"/>
          </w:rPr>
          <w:t>.</w:t>
        </w:r>
        <w:r>
          <w:rPr>
            <w:rFonts w:cs="Arial"/>
            <w:sz w:val="18"/>
            <w:szCs w:val="18"/>
          </w:rPr>
          <w:t>1203</w:t>
        </w:r>
        <w:r w:rsidRPr="00340414">
          <w:rPr>
            <w:rFonts w:cs="Arial"/>
            <w:sz w:val="18"/>
            <w:szCs w:val="18"/>
          </w:rPr>
          <w:t xml:space="preserve"> </w:t>
        </w:r>
        <w:r>
          <w:rPr>
            <w:rFonts w:cs="Arial"/>
            <w:sz w:val="18"/>
            <w:szCs w:val="18"/>
          </w:rPr>
          <w:t>–</w:t>
        </w:r>
        <w:r w:rsidRPr="00340414">
          <w:rPr>
            <w:rFonts w:cs="Arial"/>
            <w:sz w:val="18"/>
            <w:szCs w:val="18"/>
          </w:rPr>
          <w:t xml:space="preserve"> </w:t>
        </w:r>
        <w:r>
          <w:rPr>
            <w:rFonts w:cs="Arial"/>
            <w:sz w:val="18"/>
            <w:szCs w:val="18"/>
          </w:rPr>
          <w:t>Unlocking value chain impact claims for the red meat sector</w:t>
        </w:r>
      </w:sdtContent>
    </w:sdt>
  </w:p>
  <w:p w14:paraId="027FC6DC" w14:textId="77777777" w:rsidR="00D74D9D" w:rsidRDefault="00D74D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0E4E9" w14:textId="77777777" w:rsidR="00D74D9D" w:rsidRDefault="00D74D9D" w:rsidP="00360C40">
    <w:pPr>
      <w:pStyle w:val="Header"/>
    </w:pPr>
  </w:p>
  <w:p w14:paraId="10250B5D" w14:textId="77777777" w:rsidR="00D74D9D" w:rsidRDefault="00D74D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5F6E9" w14:textId="571FBBD7" w:rsidR="00D74D9D" w:rsidRPr="00821556" w:rsidRDefault="00D74D9D" w:rsidP="009F2490">
    <w:pPr>
      <w:pStyle w:val="Header"/>
      <w:pBdr>
        <w:bottom w:val="single" w:sz="4" w:space="1" w:color="auto"/>
      </w:pBdr>
      <w:jc w:val="right"/>
      <w:rPr>
        <w:sz w:val="18"/>
        <w:szCs w:val="18"/>
      </w:rPr>
    </w:pPr>
    <w:sdt>
      <w:sdtPr>
        <w:rPr>
          <w:rFonts w:cs="Arial"/>
          <w:sz w:val="18"/>
          <w:szCs w:val="18"/>
        </w:rPr>
        <w:id w:val="-2004650455"/>
        <w:text/>
      </w:sdtPr>
      <w:sdtContent>
        <w:r w:rsidRPr="00DD6321">
          <w:rPr>
            <w:rFonts w:cs="Arial"/>
            <w:sz w:val="18"/>
            <w:szCs w:val="18"/>
          </w:rPr>
          <w:t xml:space="preserve">P.PSH.1203 - Unlocking value chain impact claims for the Australian red meat sector </w:t>
        </w:r>
      </w:sdtContent>
    </w:sdt>
  </w:p>
  <w:p w14:paraId="1887C8CE" w14:textId="23AE9D29" w:rsidR="00D74D9D" w:rsidRDefault="00D74D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4E02C7E"/>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6953154"/>
    <w:multiLevelType w:val="hybridMultilevel"/>
    <w:tmpl w:val="2FDC7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95BC8"/>
    <w:multiLevelType w:val="multilevel"/>
    <w:tmpl w:val="DC38EEAE"/>
    <w:lvl w:ilvl="0">
      <w:start w:val="1"/>
      <w:numFmt w:val="decimal"/>
      <w:lvlText w:val="%1."/>
      <w:lvlJc w:val="left"/>
      <w:pPr>
        <w:ind w:left="720" w:hanging="360"/>
      </w:pPr>
      <w:rPr>
        <w:rFonts w:hint="default"/>
      </w:rPr>
    </w:lvl>
    <w:lvl w:ilvl="1">
      <w:start w:val="1"/>
      <w:numFmt w:val="decimal"/>
      <w:pStyle w:val="Heading2"/>
      <w:isLgl/>
      <w:lvlText w:val="%1.%2"/>
      <w:lvlJc w:val="left"/>
      <w:pPr>
        <w:ind w:left="780" w:hanging="42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lvlText w:val="%1.%2.%3"/>
      <w:lvlJc w:val="left"/>
      <w:pPr>
        <w:ind w:left="1080" w:hanging="72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D7E46AB"/>
    <w:multiLevelType w:val="hybridMultilevel"/>
    <w:tmpl w:val="AD32D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C86405"/>
    <w:multiLevelType w:val="hybridMultilevel"/>
    <w:tmpl w:val="FFFFFFFF"/>
    <w:lvl w:ilvl="0" w:tplc="B0C4E592">
      <w:start w:val="1"/>
      <w:numFmt w:val="upperRoman"/>
      <w:lvlText w:val="%1."/>
      <w:lvlJc w:val="right"/>
      <w:pPr>
        <w:ind w:left="720" w:hanging="360"/>
      </w:pPr>
    </w:lvl>
    <w:lvl w:ilvl="1" w:tplc="B6EAD104">
      <w:start w:val="1"/>
      <w:numFmt w:val="lowerLetter"/>
      <w:lvlText w:val="%2."/>
      <w:lvlJc w:val="left"/>
      <w:pPr>
        <w:ind w:left="1440" w:hanging="360"/>
      </w:pPr>
    </w:lvl>
    <w:lvl w:ilvl="2" w:tplc="03669BAA">
      <w:start w:val="1"/>
      <w:numFmt w:val="lowerRoman"/>
      <w:lvlText w:val="%3."/>
      <w:lvlJc w:val="right"/>
      <w:pPr>
        <w:ind w:left="2160" w:hanging="180"/>
      </w:pPr>
    </w:lvl>
    <w:lvl w:ilvl="3" w:tplc="61B25E1E">
      <w:start w:val="1"/>
      <w:numFmt w:val="decimal"/>
      <w:lvlText w:val="%4."/>
      <w:lvlJc w:val="left"/>
      <w:pPr>
        <w:ind w:left="2880" w:hanging="360"/>
      </w:pPr>
    </w:lvl>
    <w:lvl w:ilvl="4" w:tplc="09AA4310">
      <w:start w:val="1"/>
      <w:numFmt w:val="lowerLetter"/>
      <w:lvlText w:val="%5."/>
      <w:lvlJc w:val="left"/>
      <w:pPr>
        <w:ind w:left="3600" w:hanging="360"/>
      </w:pPr>
    </w:lvl>
    <w:lvl w:ilvl="5" w:tplc="518CCF82">
      <w:start w:val="1"/>
      <w:numFmt w:val="lowerRoman"/>
      <w:lvlText w:val="%6."/>
      <w:lvlJc w:val="right"/>
      <w:pPr>
        <w:ind w:left="4320" w:hanging="180"/>
      </w:pPr>
    </w:lvl>
    <w:lvl w:ilvl="6" w:tplc="3258C758">
      <w:start w:val="1"/>
      <w:numFmt w:val="decimal"/>
      <w:lvlText w:val="%7."/>
      <w:lvlJc w:val="left"/>
      <w:pPr>
        <w:ind w:left="5040" w:hanging="360"/>
      </w:pPr>
    </w:lvl>
    <w:lvl w:ilvl="7" w:tplc="F0C0A98A">
      <w:start w:val="1"/>
      <w:numFmt w:val="lowerLetter"/>
      <w:lvlText w:val="%8."/>
      <w:lvlJc w:val="left"/>
      <w:pPr>
        <w:ind w:left="5760" w:hanging="360"/>
      </w:pPr>
    </w:lvl>
    <w:lvl w:ilvl="8" w:tplc="A51A74D0">
      <w:start w:val="1"/>
      <w:numFmt w:val="lowerRoman"/>
      <w:lvlText w:val="%9."/>
      <w:lvlJc w:val="right"/>
      <w:pPr>
        <w:ind w:left="6480" w:hanging="180"/>
      </w:pPr>
    </w:lvl>
  </w:abstractNum>
  <w:abstractNum w:abstractNumId="5" w15:restartNumberingAfterBreak="0">
    <w:nsid w:val="0E5758C1"/>
    <w:multiLevelType w:val="hybridMultilevel"/>
    <w:tmpl w:val="50C861A2"/>
    <w:lvl w:ilvl="0" w:tplc="10ACE7FC">
      <w:start w:val="7"/>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0F974EA3"/>
    <w:multiLevelType w:val="hybridMultilevel"/>
    <w:tmpl w:val="2CC4D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C12440"/>
    <w:multiLevelType w:val="hybridMultilevel"/>
    <w:tmpl w:val="B630E7F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405666"/>
    <w:multiLevelType w:val="multilevel"/>
    <w:tmpl w:val="5F8AA5E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8DD138A"/>
    <w:multiLevelType w:val="hybridMultilevel"/>
    <w:tmpl w:val="93E08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AB762E"/>
    <w:multiLevelType w:val="multilevel"/>
    <w:tmpl w:val="05E698AC"/>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C2C0ADC"/>
    <w:multiLevelType w:val="hybridMultilevel"/>
    <w:tmpl w:val="A114F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5D0B24"/>
    <w:multiLevelType w:val="hybridMultilevel"/>
    <w:tmpl w:val="FFFFFFFF"/>
    <w:lvl w:ilvl="0" w:tplc="356AB38C">
      <w:start w:val="1"/>
      <w:numFmt w:val="lowerLetter"/>
      <w:lvlText w:val="%1."/>
      <w:lvlJc w:val="left"/>
      <w:pPr>
        <w:ind w:left="720" w:hanging="360"/>
      </w:pPr>
    </w:lvl>
    <w:lvl w:ilvl="1" w:tplc="7FE4EA76">
      <w:start w:val="1"/>
      <w:numFmt w:val="lowerLetter"/>
      <w:lvlText w:val="%2."/>
      <w:lvlJc w:val="left"/>
      <w:pPr>
        <w:ind w:left="1440" w:hanging="360"/>
      </w:pPr>
    </w:lvl>
    <w:lvl w:ilvl="2" w:tplc="68CE01BA">
      <w:start w:val="1"/>
      <w:numFmt w:val="lowerRoman"/>
      <w:lvlText w:val="%3."/>
      <w:lvlJc w:val="right"/>
      <w:pPr>
        <w:ind w:left="2160" w:hanging="180"/>
      </w:pPr>
    </w:lvl>
    <w:lvl w:ilvl="3" w:tplc="B36CB4C6">
      <w:start w:val="1"/>
      <w:numFmt w:val="decimal"/>
      <w:lvlText w:val="%4."/>
      <w:lvlJc w:val="left"/>
      <w:pPr>
        <w:ind w:left="2880" w:hanging="360"/>
      </w:pPr>
    </w:lvl>
    <w:lvl w:ilvl="4" w:tplc="97480D38">
      <w:start w:val="1"/>
      <w:numFmt w:val="lowerLetter"/>
      <w:lvlText w:val="%5."/>
      <w:lvlJc w:val="left"/>
      <w:pPr>
        <w:ind w:left="3600" w:hanging="360"/>
      </w:pPr>
    </w:lvl>
    <w:lvl w:ilvl="5" w:tplc="978AF628">
      <w:start w:val="1"/>
      <w:numFmt w:val="lowerRoman"/>
      <w:lvlText w:val="%6."/>
      <w:lvlJc w:val="right"/>
      <w:pPr>
        <w:ind w:left="4320" w:hanging="180"/>
      </w:pPr>
    </w:lvl>
    <w:lvl w:ilvl="6" w:tplc="E72E5956">
      <w:start w:val="1"/>
      <w:numFmt w:val="decimal"/>
      <w:lvlText w:val="%7."/>
      <w:lvlJc w:val="left"/>
      <w:pPr>
        <w:ind w:left="5040" w:hanging="360"/>
      </w:pPr>
    </w:lvl>
    <w:lvl w:ilvl="7" w:tplc="CF3845BA">
      <w:start w:val="1"/>
      <w:numFmt w:val="lowerLetter"/>
      <w:lvlText w:val="%8."/>
      <w:lvlJc w:val="left"/>
      <w:pPr>
        <w:ind w:left="5760" w:hanging="360"/>
      </w:pPr>
    </w:lvl>
    <w:lvl w:ilvl="8" w:tplc="6534E468">
      <w:start w:val="1"/>
      <w:numFmt w:val="lowerRoman"/>
      <w:lvlText w:val="%9."/>
      <w:lvlJc w:val="right"/>
      <w:pPr>
        <w:ind w:left="6480" w:hanging="180"/>
      </w:pPr>
    </w:lvl>
  </w:abstractNum>
  <w:abstractNum w:abstractNumId="13" w15:restartNumberingAfterBreak="0">
    <w:nsid w:val="26E42329"/>
    <w:multiLevelType w:val="hybridMultilevel"/>
    <w:tmpl w:val="43E6317C"/>
    <w:lvl w:ilvl="0" w:tplc="13C6E674">
      <w:numFmt w:val="bullet"/>
      <w:lvlText w:val="•"/>
      <w:lvlJc w:val="left"/>
      <w:pPr>
        <w:ind w:left="1080" w:hanging="72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72C73AF"/>
    <w:multiLevelType w:val="hybridMultilevel"/>
    <w:tmpl w:val="820A1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BF5B4C"/>
    <w:multiLevelType w:val="hybridMultilevel"/>
    <w:tmpl w:val="575E0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8E23DF"/>
    <w:multiLevelType w:val="hybridMultilevel"/>
    <w:tmpl w:val="DB8058D4"/>
    <w:lvl w:ilvl="0" w:tplc="13C6E674">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C22BFA"/>
    <w:multiLevelType w:val="hybridMultilevel"/>
    <w:tmpl w:val="A306C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074D8B"/>
    <w:multiLevelType w:val="hybridMultilevel"/>
    <w:tmpl w:val="AE9065E6"/>
    <w:lvl w:ilvl="0" w:tplc="13C6E674">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88457D"/>
    <w:multiLevelType w:val="multilevel"/>
    <w:tmpl w:val="E3FCFA1C"/>
    <w:lvl w:ilvl="0">
      <w:start w:val="1"/>
      <w:numFmt w:val="decimal"/>
      <w:lvlText w:val="%1"/>
      <w:lvlJc w:val="left"/>
      <w:pPr>
        <w:ind w:left="432" w:hanging="432"/>
      </w:pPr>
    </w:lvl>
    <w:lvl w:ilvl="1">
      <w:start w:val="1"/>
      <w:numFmt w:val="decimal"/>
      <w:lvlText w:val="%1.%2"/>
      <w:lvlJc w:val="left"/>
      <w:pPr>
        <w:ind w:left="576" w:hanging="576"/>
      </w:pPr>
      <w:rPr>
        <w:sz w:val="28"/>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CE73812"/>
    <w:multiLevelType w:val="multilevel"/>
    <w:tmpl w:val="5F8AA5E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DE30159"/>
    <w:multiLevelType w:val="hybridMultilevel"/>
    <w:tmpl w:val="80523E2C"/>
    <w:lvl w:ilvl="0" w:tplc="0FF21D6E">
      <w:start w:val="10"/>
      <w:numFmt w:val="bullet"/>
      <w:lvlText w:val="-"/>
      <w:lvlJc w:val="left"/>
      <w:pPr>
        <w:ind w:left="1080" w:hanging="360"/>
      </w:pPr>
      <w:rPr>
        <w:rFonts w:ascii="Calibri" w:eastAsia="Times New Roman" w:hAnsi="Calibri" w:cs="Calibri" w:hint="default"/>
        <w:b w:val="0"/>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3E038CA"/>
    <w:multiLevelType w:val="hybridMultilevel"/>
    <w:tmpl w:val="99D4E34A"/>
    <w:lvl w:ilvl="0" w:tplc="13C6E674">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B4115B"/>
    <w:multiLevelType w:val="hybridMultilevel"/>
    <w:tmpl w:val="233403C6"/>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4" w15:restartNumberingAfterBreak="0">
    <w:nsid w:val="4BFF3456"/>
    <w:multiLevelType w:val="multilevel"/>
    <w:tmpl w:val="DDB644D8"/>
    <w:lvl w:ilvl="0">
      <w:start w:val="1"/>
      <w:numFmt w:val="decimal"/>
      <w:lvlText w:val="%1."/>
      <w:lvlJc w:val="left"/>
      <w:pPr>
        <w:ind w:left="720" w:hanging="360"/>
      </w:pPr>
    </w:lvl>
    <w:lvl w:ilvl="1">
      <w:start w:val="1"/>
      <w:numFmt w:val="decimal"/>
      <w:isLgl/>
      <w:lvlText w:val="%1.%2"/>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D0C0570"/>
    <w:multiLevelType w:val="hybridMultilevel"/>
    <w:tmpl w:val="A978F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9B5038"/>
    <w:multiLevelType w:val="hybridMultilevel"/>
    <w:tmpl w:val="97808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96143E"/>
    <w:multiLevelType w:val="multilevel"/>
    <w:tmpl w:val="5F8AA5E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5E0653AE"/>
    <w:multiLevelType w:val="hybridMultilevel"/>
    <w:tmpl w:val="19DEC042"/>
    <w:lvl w:ilvl="0" w:tplc="13C6E674">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0D6140"/>
    <w:multiLevelType w:val="hybridMultilevel"/>
    <w:tmpl w:val="61EC22D4"/>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6B5F5FDE"/>
    <w:multiLevelType w:val="hybridMultilevel"/>
    <w:tmpl w:val="FFFFFFFF"/>
    <w:lvl w:ilvl="0" w:tplc="1150850E">
      <w:start w:val="1"/>
      <w:numFmt w:val="decimal"/>
      <w:lvlText w:val="%1."/>
      <w:lvlJc w:val="left"/>
      <w:pPr>
        <w:ind w:left="720" w:hanging="360"/>
      </w:pPr>
    </w:lvl>
    <w:lvl w:ilvl="1" w:tplc="EFB20644">
      <w:start w:val="1"/>
      <w:numFmt w:val="upperRoman"/>
      <w:lvlText w:val="%2."/>
      <w:lvlJc w:val="right"/>
      <w:pPr>
        <w:ind w:left="1440" w:hanging="360"/>
      </w:pPr>
    </w:lvl>
    <w:lvl w:ilvl="2" w:tplc="D5D28BAC">
      <w:start w:val="1"/>
      <w:numFmt w:val="lowerRoman"/>
      <w:lvlText w:val="%3."/>
      <w:lvlJc w:val="right"/>
      <w:pPr>
        <w:ind w:left="2160" w:hanging="180"/>
      </w:pPr>
    </w:lvl>
    <w:lvl w:ilvl="3" w:tplc="CEBEEAAE">
      <w:start w:val="1"/>
      <w:numFmt w:val="decimal"/>
      <w:lvlText w:val="%4."/>
      <w:lvlJc w:val="left"/>
      <w:pPr>
        <w:ind w:left="2880" w:hanging="360"/>
      </w:pPr>
    </w:lvl>
    <w:lvl w:ilvl="4" w:tplc="9E7A501E">
      <w:start w:val="1"/>
      <w:numFmt w:val="lowerLetter"/>
      <w:lvlText w:val="%5."/>
      <w:lvlJc w:val="left"/>
      <w:pPr>
        <w:ind w:left="3600" w:hanging="360"/>
      </w:pPr>
    </w:lvl>
    <w:lvl w:ilvl="5" w:tplc="0F709F44">
      <w:start w:val="1"/>
      <w:numFmt w:val="lowerRoman"/>
      <w:lvlText w:val="%6."/>
      <w:lvlJc w:val="right"/>
      <w:pPr>
        <w:ind w:left="4320" w:hanging="180"/>
      </w:pPr>
    </w:lvl>
    <w:lvl w:ilvl="6" w:tplc="979CDB2C">
      <w:start w:val="1"/>
      <w:numFmt w:val="decimal"/>
      <w:lvlText w:val="%7."/>
      <w:lvlJc w:val="left"/>
      <w:pPr>
        <w:ind w:left="5040" w:hanging="360"/>
      </w:pPr>
    </w:lvl>
    <w:lvl w:ilvl="7" w:tplc="BD2E143C">
      <w:start w:val="1"/>
      <w:numFmt w:val="lowerLetter"/>
      <w:lvlText w:val="%8."/>
      <w:lvlJc w:val="left"/>
      <w:pPr>
        <w:ind w:left="5760" w:hanging="360"/>
      </w:pPr>
    </w:lvl>
    <w:lvl w:ilvl="8" w:tplc="AC96A21A">
      <w:start w:val="1"/>
      <w:numFmt w:val="lowerRoman"/>
      <w:lvlText w:val="%9."/>
      <w:lvlJc w:val="right"/>
      <w:pPr>
        <w:ind w:left="6480" w:hanging="180"/>
      </w:pPr>
    </w:lvl>
  </w:abstractNum>
  <w:abstractNum w:abstractNumId="31" w15:restartNumberingAfterBreak="0">
    <w:nsid w:val="736D6763"/>
    <w:multiLevelType w:val="hybridMultilevel"/>
    <w:tmpl w:val="FD74ED9C"/>
    <w:lvl w:ilvl="0" w:tplc="04090001">
      <w:start w:val="1"/>
      <w:numFmt w:val="bullet"/>
      <w:lvlText w:val=""/>
      <w:lvlJc w:val="left"/>
      <w:pPr>
        <w:ind w:left="720" w:hanging="360"/>
      </w:pPr>
      <w:rPr>
        <w:rFonts w:ascii="Symbol" w:hAnsi="Symbol" w:hint="default"/>
      </w:rPr>
    </w:lvl>
    <w:lvl w:ilvl="1" w:tplc="860CF3CC">
      <w:start w:val="1"/>
      <w:numFmt w:val="lowerLetter"/>
      <w:lvlText w:val="%2."/>
      <w:lvlJc w:val="left"/>
      <w:pPr>
        <w:ind w:left="1440" w:hanging="360"/>
      </w:pPr>
    </w:lvl>
    <w:lvl w:ilvl="2" w:tplc="65668244">
      <w:start w:val="1"/>
      <w:numFmt w:val="lowerRoman"/>
      <w:lvlText w:val="%3."/>
      <w:lvlJc w:val="right"/>
      <w:pPr>
        <w:ind w:left="2160" w:hanging="180"/>
      </w:pPr>
    </w:lvl>
    <w:lvl w:ilvl="3" w:tplc="EA7ADFE8">
      <w:start w:val="1"/>
      <w:numFmt w:val="decimal"/>
      <w:lvlText w:val="%4."/>
      <w:lvlJc w:val="left"/>
      <w:pPr>
        <w:ind w:left="2880" w:hanging="360"/>
      </w:pPr>
    </w:lvl>
    <w:lvl w:ilvl="4" w:tplc="6CEC2EE8">
      <w:start w:val="1"/>
      <w:numFmt w:val="lowerLetter"/>
      <w:lvlText w:val="%5."/>
      <w:lvlJc w:val="left"/>
      <w:pPr>
        <w:ind w:left="3600" w:hanging="360"/>
      </w:pPr>
    </w:lvl>
    <w:lvl w:ilvl="5" w:tplc="BEE8455C">
      <w:start w:val="1"/>
      <w:numFmt w:val="lowerRoman"/>
      <w:lvlText w:val="%6."/>
      <w:lvlJc w:val="right"/>
      <w:pPr>
        <w:ind w:left="4320" w:hanging="180"/>
      </w:pPr>
    </w:lvl>
    <w:lvl w:ilvl="6" w:tplc="28603534">
      <w:start w:val="1"/>
      <w:numFmt w:val="decimal"/>
      <w:lvlText w:val="%7."/>
      <w:lvlJc w:val="left"/>
      <w:pPr>
        <w:ind w:left="5040" w:hanging="360"/>
      </w:pPr>
    </w:lvl>
    <w:lvl w:ilvl="7" w:tplc="5A78408C">
      <w:start w:val="1"/>
      <w:numFmt w:val="lowerLetter"/>
      <w:lvlText w:val="%8."/>
      <w:lvlJc w:val="left"/>
      <w:pPr>
        <w:ind w:left="5760" w:hanging="360"/>
      </w:pPr>
    </w:lvl>
    <w:lvl w:ilvl="8" w:tplc="8C40F97C">
      <w:start w:val="1"/>
      <w:numFmt w:val="lowerRoman"/>
      <w:lvlText w:val="%9."/>
      <w:lvlJc w:val="right"/>
      <w:pPr>
        <w:ind w:left="6480" w:hanging="180"/>
      </w:pPr>
    </w:lvl>
  </w:abstractNum>
  <w:abstractNum w:abstractNumId="32" w15:restartNumberingAfterBreak="0">
    <w:nsid w:val="74F35E3C"/>
    <w:multiLevelType w:val="hybridMultilevel"/>
    <w:tmpl w:val="63900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BB5C52"/>
    <w:multiLevelType w:val="hybridMultilevel"/>
    <w:tmpl w:val="6826D280"/>
    <w:lvl w:ilvl="0" w:tplc="14ECDFCC">
      <w:start w:val="1"/>
      <w:numFmt w:val="bullet"/>
      <w:lvlText w:val=""/>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77140D1D"/>
    <w:multiLevelType w:val="multilevel"/>
    <w:tmpl w:val="7840BF3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7C9F273A"/>
    <w:multiLevelType w:val="multilevel"/>
    <w:tmpl w:val="BD0E3DD0"/>
    <w:lvl w:ilvl="0">
      <w:start w:val="5"/>
      <w:numFmt w:val="decimal"/>
      <w:lvlText w:val="%1."/>
      <w:lvlJc w:val="left"/>
      <w:pPr>
        <w:ind w:left="720" w:hanging="360"/>
      </w:pPr>
      <w:rPr>
        <w:rFonts w:hint="default"/>
      </w:rPr>
    </w:lvl>
    <w:lvl w:ilvl="1">
      <w:start w:val="1"/>
      <w:numFmt w:val="decimal"/>
      <w:isLgl/>
      <w:lvlText w:val="%1.%2"/>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1"/>
  </w:num>
  <w:num w:numId="2">
    <w:abstractNumId w:val="19"/>
  </w:num>
  <w:num w:numId="3">
    <w:abstractNumId w:val="0"/>
  </w:num>
  <w:num w:numId="4">
    <w:abstractNumId w:val="23"/>
  </w:num>
  <w:num w:numId="5">
    <w:abstractNumId w:val="32"/>
  </w:num>
  <w:num w:numId="6">
    <w:abstractNumId w:val="33"/>
  </w:num>
  <w:num w:numId="7">
    <w:abstractNumId w:val="29"/>
  </w:num>
  <w:num w:numId="8">
    <w:abstractNumId w:val="6"/>
  </w:num>
  <w:num w:numId="9">
    <w:abstractNumId w:val="25"/>
  </w:num>
  <w:num w:numId="10">
    <w:abstractNumId w:val="17"/>
  </w:num>
  <w:num w:numId="11">
    <w:abstractNumId w:val="9"/>
  </w:num>
  <w:num w:numId="12">
    <w:abstractNumId w:val="24"/>
  </w:num>
  <w:num w:numId="13">
    <w:abstractNumId w:val="2"/>
  </w:num>
  <w:num w:numId="14">
    <w:abstractNumId w:val="10"/>
  </w:num>
  <w:num w:numId="15">
    <w:abstractNumId w:val="8"/>
  </w:num>
  <w:num w:numId="16">
    <w:abstractNumId w:val="20"/>
  </w:num>
  <w:num w:numId="17">
    <w:abstractNumId w:val="11"/>
  </w:num>
  <w:num w:numId="18">
    <w:abstractNumId w:val="5"/>
  </w:num>
  <w:num w:numId="19">
    <w:abstractNumId w:val="18"/>
  </w:num>
  <w:num w:numId="20">
    <w:abstractNumId w:val="14"/>
  </w:num>
  <w:num w:numId="21">
    <w:abstractNumId w:val="16"/>
  </w:num>
  <w:num w:numId="22">
    <w:abstractNumId w:val="28"/>
  </w:num>
  <w:num w:numId="23">
    <w:abstractNumId w:val="26"/>
  </w:num>
  <w:num w:numId="24">
    <w:abstractNumId w:val="3"/>
  </w:num>
  <w:num w:numId="25">
    <w:abstractNumId w:val="35"/>
  </w:num>
  <w:num w:numId="26">
    <w:abstractNumId w:val="27"/>
  </w:num>
  <w:num w:numId="27">
    <w:abstractNumId w:val="24"/>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31"/>
  </w:num>
  <w:num w:numId="33">
    <w:abstractNumId w:val="15"/>
  </w:num>
  <w:num w:numId="34">
    <w:abstractNumId w:val="1"/>
  </w:num>
  <w:num w:numId="35">
    <w:abstractNumId w:val="12"/>
  </w:num>
  <w:num w:numId="36">
    <w:abstractNumId w:val="4"/>
  </w:num>
  <w:num w:numId="37">
    <w:abstractNumId w:val="7"/>
  </w:num>
  <w:num w:numId="38">
    <w:abstractNumId w:val="34"/>
  </w:num>
  <w:num w:numId="39">
    <w:abstractNumId w:val="22"/>
  </w:num>
  <w:num w:numId="40">
    <w:abstractNumId w:val="2"/>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993"/>
    <w:rsid w:val="000110F1"/>
    <w:rsid w:val="00017890"/>
    <w:rsid w:val="0002473F"/>
    <w:rsid w:val="000337EB"/>
    <w:rsid w:val="00044FE2"/>
    <w:rsid w:val="00080A91"/>
    <w:rsid w:val="000B7591"/>
    <w:rsid w:val="000E6310"/>
    <w:rsid w:val="00100FEA"/>
    <w:rsid w:val="00121D7C"/>
    <w:rsid w:val="001264AD"/>
    <w:rsid w:val="00151224"/>
    <w:rsid w:val="0018663B"/>
    <w:rsid w:val="001C4804"/>
    <w:rsid w:val="00247959"/>
    <w:rsid w:val="00257224"/>
    <w:rsid w:val="00262455"/>
    <w:rsid w:val="002975B8"/>
    <w:rsid w:val="002A0E2E"/>
    <w:rsid w:val="002D010F"/>
    <w:rsid w:val="002D57DF"/>
    <w:rsid w:val="002D68E5"/>
    <w:rsid w:val="002E34D4"/>
    <w:rsid w:val="002F1B0B"/>
    <w:rsid w:val="00307185"/>
    <w:rsid w:val="00313EF3"/>
    <w:rsid w:val="00324D3E"/>
    <w:rsid w:val="00360C40"/>
    <w:rsid w:val="00365B6B"/>
    <w:rsid w:val="00377D65"/>
    <w:rsid w:val="00381993"/>
    <w:rsid w:val="00383300"/>
    <w:rsid w:val="003871A4"/>
    <w:rsid w:val="00397EDF"/>
    <w:rsid w:val="003B3C45"/>
    <w:rsid w:val="003C0025"/>
    <w:rsid w:val="003E2D97"/>
    <w:rsid w:val="003F39BE"/>
    <w:rsid w:val="004511F6"/>
    <w:rsid w:val="004514FA"/>
    <w:rsid w:val="00454121"/>
    <w:rsid w:val="0048129F"/>
    <w:rsid w:val="00482B7E"/>
    <w:rsid w:val="004903E4"/>
    <w:rsid w:val="00494BB9"/>
    <w:rsid w:val="0049796E"/>
    <w:rsid w:val="004A1676"/>
    <w:rsid w:val="004A2E50"/>
    <w:rsid w:val="004A44C2"/>
    <w:rsid w:val="004A5230"/>
    <w:rsid w:val="004C56C4"/>
    <w:rsid w:val="004F4AB1"/>
    <w:rsid w:val="004F5DDB"/>
    <w:rsid w:val="005001E3"/>
    <w:rsid w:val="005234ED"/>
    <w:rsid w:val="00524FF3"/>
    <w:rsid w:val="00540DA0"/>
    <w:rsid w:val="00545240"/>
    <w:rsid w:val="005553BF"/>
    <w:rsid w:val="0057485E"/>
    <w:rsid w:val="005900C7"/>
    <w:rsid w:val="00621C96"/>
    <w:rsid w:val="0062683A"/>
    <w:rsid w:val="00655CDB"/>
    <w:rsid w:val="006670EB"/>
    <w:rsid w:val="006919DB"/>
    <w:rsid w:val="00694345"/>
    <w:rsid w:val="006C1D3F"/>
    <w:rsid w:val="006C7A05"/>
    <w:rsid w:val="006D4870"/>
    <w:rsid w:val="006F0E33"/>
    <w:rsid w:val="00706D06"/>
    <w:rsid w:val="00716F09"/>
    <w:rsid w:val="00743A3D"/>
    <w:rsid w:val="00746DC8"/>
    <w:rsid w:val="007516DF"/>
    <w:rsid w:val="00766679"/>
    <w:rsid w:val="0077452F"/>
    <w:rsid w:val="007A59A0"/>
    <w:rsid w:val="007B7330"/>
    <w:rsid w:val="007C332D"/>
    <w:rsid w:val="007D55F1"/>
    <w:rsid w:val="007F4193"/>
    <w:rsid w:val="00801A5F"/>
    <w:rsid w:val="008035F0"/>
    <w:rsid w:val="008213B2"/>
    <w:rsid w:val="008320B5"/>
    <w:rsid w:val="00843724"/>
    <w:rsid w:val="00845A8A"/>
    <w:rsid w:val="0084658D"/>
    <w:rsid w:val="008557E5"/>
    <w:rsid w:val="008602B4"/>
    <w:rsid w:val="00870007"/>
    <w:rsid w:val="00876E4E"/>
    <w:rsid w:val="008A7D8F"/>
    <w:rsid w:val="008C5F35"/>
    <w:rsid w:val="00912A19"/>
    <w:rsid w:val="009926C8"/>
    <w:rsid w:val="009A4C5A"/>
    <w:rsid w:val="009B267F"/>
    <w:rsid w:val="009B2F41"/>
    <w:rsid w:val="009B500A"/>
    <w:rsid w:val="009D30B8"/>
    <w:rsid w:val="009F08BC"/>
    <w:rsid w:val="009F2490"/>
    <w:rsid w:val="00A21215"/>
    <w:rsid w:val="00A41000"/>
    <w:rsid w:val="00A64DB9"/>
    <w:rsid w:val="00A70FE1"/>
    <w:rsid w:val="00A75EC2"/>
    <w:rsid w:val="00A86D50"/>
    <w:rsid w:val="00A968C3"/>
    <w:rsid w:val="00AA08AA"/>
    <w:rsid w:val="00AB62D2"/>
    <w:rsid w:val="00AC178D"/>
    <w:rsid w:val="00AD6E18"/>
    <w:rsid w:val="00AD767C"/>
    <w:rsid w:val="00AE0184"/>
    <w:rsid w:val="00B04554"/>
    <w:rsid w:val="00B17AD5"/>
    <w:rsid w:val="00B32340"/>
    <w:rsid w:val="00B67489"/>
    <w:rsid w:val="00B71A73"/>
    <w:rsid w:val="00B819F6"/>
    <w:rsid w:val="00B8799B"/>
    <w:rsid w:val="00BA4831"/>
    <w:rsid w:val="00BB44F9"/>
    <w:rsid w:val="00BB4EAF"/>
    <w:rsid w:val="00BC1CB1"/>
    <w:rsid w:val="00BC2A4C"/>
    <w:rsid w:val="00BC4873"/>
    <w:rsid w:val="00BD79E3"/>
    <w:rsid w:val="00C030DD"/>
    <w:rsid w:val="00C20862"/>
    <w:rsid w:val="00C3283E"/>
    <w:rsid w:val="00C344A8"/>
    <w:rsid w:val="00C51944"/>
    <w:rsid w:val="00C5249E"/>
    <w:rsid w:val="00C7067E"/>
    <w:rsid w:val="00C768E4"/>
    <w:rsid w:val="00C81D35"/>
    <w:rsid w:val="00C825D4"/>
    <w:rsid w:val="00C93DA6"/>
    <w:rsid w:val="00C962A5"/>
    <w:rsid w:val="00CB7C5B"/>
    <w:rsid w:val="00CD7411"/>
    <w:rsid w:val="00D07393"/>
    <w:rsid w:val="00D134EB"/>
    <w:rsid w:val="00D303EB"/>
    <w:rsid w:val="00D55446"/>
    <w:rsid w:val="00D74D9D"/>
    <w:rsid w:val="00DB2586"/>
    <w:rsid w:val="00DC0023"/>
    <w:rsid w:val="00DC686F"/>
    <w:rsid w:val="00DD1FC3"/>
    <w:rsid w:val="00DD6321"/>
    <w:rsid w:val="00DE2EB9"/>
    <w:rsid w:val="00E018EB"/>
    <w:rsid w:val="00E11386"/>
    <w:rsid w:val="00E11A46"/>
    <w:rsid w:val="00E31B8F"/>
    <w:rsid w:val="00E3406E"/>
    <w:rsid w:val="00E618CB"/>
    <w:rsid w:val="00E87144"/>
    <w:rsid w:val="00E91C77"/>
    <w:rsid w:val="00EA7033"/>
    <w:rsid w:val="00EE5EDC"/>
    <w:rsid w:val="00EF32A0"/>
    <w:rsid w:val="00EF47AB"/>
    <w:rsid w:val="00F340DD"/>
    <w:rsid w:val="00F52D29"/>
    <w:rsid w:val="00F60C84"/>
    <w:rsid w:val="00F702DE"/>
    <w:rsid w:val="00F869DC"/>
    <w:rsid w:val="00F9754D"/>
    <w:rsid w:val="00FA1F31"/>
    <w:rsid w:val="00FB015D"/>
    <w:rsid w:val="00FB4DC7"/>
    <w:rsid w:val="00FD6FCE"/>
    <w:rsid w:val="00FE13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14E123"/>
  <w15:chartTrackingRefBased/>
  <w15:docId w15:val="{E2051F35-BF47-4964-9C7B-8AAAA827C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655CDB"/>
    <w:pPr>
      <w:keepNext/>
      <w:keepLines/>
      <w:spacing w:before="240" w:after="0"/>
      <w:outlineLvl w:val="0"/>
    </w:pPr>
    <w:rPr>
      <w:rFonts w:ascii="Calibri" w:eastAsiaTheme="majorEastAsia" w:hAnsi="Calibri" w:cstheme="majorBidi"/>
      <w:b/>
      <w:sz w:val="32"/>
      <w:szCs w:val="32"/>
    </w:rPr>
  </w:style>
  <w:style w:type="paragraph" w:styleId="Heading2">
    <w:name w:val="heading 2"/>
    <w:basedOn w:val="Normal"/>
    <w:next w:val="Normal"/>
    <w:link w:val="Heading2Char"/>
    <w:autoRedefine/>
    <w:unhideWhenUsed/>
    <w:qFormat/>
    <w:rsid w:val="00B67489"/>
    <w:pPr>
      <w:keepNext/>
      <w:numPr>
        <w:ilvl w:val="1"/>
        <w:numId w:val="13"/>
      </w:numPr>
      <w:tabs>
        <w:tab w:val="left" w:pos="709"/>
      </w:tabs>
      <w:spacing w:before="240" w:after="240" w:line="240" w:lineRule="auto"/>
      <w:jc w:val="both"/>
      <w:outlineLvl w:val="1"/>
    </w:pPr>
    <w:rPr>
      <w:rFonts w:cs="Arial"/>
      <w:b/>
      <w:sz w:val="28"/>
      <w:szCs w:val="24"/>
    </w:rPr>
  </w:style>
  <w:style w:type="paragraph" w:styleId="Heading3">
    <w:name w:val="heading 3"/>
    <w:basedOn w:val="Normal"/>
    <w:next w:val="Normal"/>
    <w:link w:val="Heading3Char"/>
    <w:autoRedefine/>
    <w:unhideWhenUsed/>
    <w:qFormat/>
    <w:rsid w:val="007C332D"/>
    <w:pPr>
      <w:keepNext/>
      <w:numPr>
        <w:ilvl w:val="2"/>
        <w:numId w:val="13"/>
      </w:numPr>
      <w:tabs>
        <w:tab w:val="left" w:pos="709"/>
      </w:tabs>
      <w:spacing w:before="240" w:after="240" w:line="240" w:lineRule="auto"/>
      <w:jc w:val="both"/>
      <w:outlineLvl w:val="2"/>
    </w:pPr>
    <w:rPr>
      <w:rFonts w:cs="Arial"/>
      <w:b/>
      <w:sz w:val="24"/>
      <w:szCs w:val="24"/>
    </w:rPr>
  </w:style>
  <w:style w:type="paragraph" w:styleId="Heading4">
    <w:name w:val="heading 4"/>
    <w:basedOn w:val="Normal"/>
    <w:next w:val="Normal"/>
    <w:link w:val="Heading4Char"/>
    <w:unhideWhenUsed/>
    <w:qFormat/>
    <w:rsid w:val="009A4C5A"/>
    <w:pPr>
      <w:keepNext/>
      <w:keepLines/>
      <w:spacing w:before="200" w:after="0" w:line="276" w:lineRule="auto"/>
      <w:ind w:left="864" w:hanging="864"/>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nhideWhenUsed/>
    <w:qFormat/>
    <w:rsid w:val="009A4C5A"/>
    <w:pPr>
      <w:keepNext/>
      <w:keepLines/>
      <w:spacing w:before="200" w:after="0" w:line="276" w:lineRule="auto"/>
      <w:ind w:left="1008" w:hanging="1008"/>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rsid w:val="009A4C5A"/>
    <w:pPr>
      <w:keepNext/>
      <w:keepLines/>
      <w:spacing w:before="200" w:after="0" w:line="276" w:lineRule="auto"/>
      <w:ind w:left="1152" w:hanging="1152"/>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nhideWhenUsed/>
    <w:qFormat/>
    <w:rsid w:val="009A4C5A"/>
    <w:pPr>
      <w:keepNext/>
      <w:keepLines/>
      <w:spacing w:before="200" w:after="0" w:line="276" w:lineRule="auto"/>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9A4C5A"/>
    <w:pPr>
      <w:keepNext/>
      <w:keepLines/>
      <w:spacing w:before="200" w:after="0" w:line="276"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9A4C5A"/>
    <w:pPr>
      <w:keepNext/>
      <w:keepLines/>
      <w:spacing w:before="200" w:after="0" w:line="276"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5CDB"/>
    <w:rPr>
      <w:rFonts w:ascii="Calibri" w:eastAsiaTheme="majorEastAsia" w:hAnsi="Calibri" w:cstheme="majorBidi"/>
      <w:b/>
      <w:sz w:val="32"/>
      <w:szCs w:val="32"/>
    </w:rPr>
  </w:style>
  <w:style w:type="paragraph" w:customStyle="1" w:styleId="MLAfinalreportText">
    <w:name w:val="MLA final report Text"/>
    <w:basedOn w:val="Normal"/>
    <w:link w:val="MLAfinalreportTextCharChar"/>
    <w:autoRedefine/>
    <w:rsid w:val="00B67489"/>
    <w:pPr>
      <w:spacing w:after="0" w:line="240" w:lineRule="auto"/>
    </w:pPr>
    <w:rPr>
      <w:rFonts w:eastAsia="Times New Roman" w:cstheme="minorHAnsi"/>
      <w:i/>
      <w:lang w:bidi="en-US"/>
    </w:rPr>
  </w:style>
  <w:style w:type="character" w:customStyle="1" w:styleId="MLAfinalreportTextCharChar">
    <w:name w:val="MLA final report Text Char Char"/>
    <w:basedOn w:val="DefaultParagraphFont"/>
    <w:link w:val="MLAfinalreportText"/>
    <w:rsid w:val="00B67489"/>
    <w:rPr>
      <w:rFonts w:eastAsia="Times New Roman" w:cstheme="minorHAnsi"/>
      <w:i/>
      <w:lang w:bidi="en-US"/>
    </w:rPr>
  </w:style>
  <w:style w:type="character" w:customStyle="1" w:styleId="Heading2Char">
    <w:name w:val="Heading 2 Char"/>
    <w:basedOn w:val="DefaultParagraphFont"/>
    <w:link w:val="Heading2"/>
    <w:rsid w:val="00B67489"/>
    <w:rPr>
      <w:rFonts w:cs="Arial"/>
      <w:b/>
      <w:sz w:val="28"/>
      <w:szCs w:val="24"/>
    </w:rPr>
  </w:style>
  <w:style w:type="character" w:customStyle="1" w:styleId="Heading3Char">
    <w:name w:val="Heading 3 Char"/>
    <w:basedOn w:val="DefaultParagraphFont"/>
    <w:link w:val="Heading3"/>
    <w:rsid w:val="007C332D"/>
    <w:rPr>
      <w:rFonts w:cs="Arial"/>
      <w:b/>
      <w:sz w:val="24"/>
      <w:szCs w:val="24"/>
    </w:rPr>
  </w:style>
  <w:style w:type="character" w:customStyle="1" w:styleId="Heading4Char">
    <w:name w:val="Heading 4 Char"/>
    <w:basedOn w:val="DefaultParagraphFont"/>
    <w:link w:val="Heading4"/>
    <w:rsid w:val="009A4C5A"/>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rsid w:val="009A4C5A"/>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rsid w:val="009A4C5A"/>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rsid w:val="009A4C5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9A4C5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9A4C5A"/>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4903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3E4"/>
    <w:rPr>
      <w:rFonts w:ascii="Segoe UI" w:hAnsi="Segoe UI" w:cs="Segoe UI"/>
      <w:sz w:val="18"/>
      <w:szCs w:val="18"/>
    </w:rPr>
  </w:style>
  <w:style w:type="character" w:styleId="CommentReference">
    <w:name w:val="annotation reference"/>
    <w:basedOn w:val="DefaultParagraphFont"/>
    <w:uiPriority w:val="99"/>
    <w:semiHidden/>
    <w:unhideWhenUsed/>
    <w:rsid w:val="0084658D"/>
    <w:rPr>
      <w:sz w:val="16"/>
      <w:szCs w:val="16"/>
    </w:rPr>
  </w:style>
  <w:style w:type="paragraph" w:styleId="CommentText">
    <w:name w:val="annotation text"/>
    <w:basedOn w:val="Normal"/>
    <w:link w:val="CommentTextChar"/>
    <w:uiPriority w:val="99"/>
    <w:semiHidden/>
    <w:unhideWhenUsed/>
    <w:rsid w:val="0084658D"/>
    <w:pPr>
      <w:spacing w:line="240" w:lineRule="auto"/>
    </w:pPr>
    <w:rPr>
      <w:sz w:val="20"/>
      <w:szCs w:val="20"/>
    </w:rPr>
  </w:style>
  <w:style w:type="character" w:customStyle="1" w:styleId="CommentTextChar">
    <w:name w:val="Comment Text Char"/>
    <w:basedOn w:val="DefaultParagraphFont"/>
    <w:link w:val="CommentText"/>
    <w:uiPriority w:val="99"/>
    <w:semiHidden/>
    <w:rsid w:val="0084658D"/>
    <w:rPr>
      <w:sz w:val="20"/>
      <w:szCs w:val="20"/>
    </w:rPr>
  </w:style>
  <w:style w:type="paragraph" w:styleId="CommentSubject">
    <w:name w:val="annotation subject"/>
    <w:basedOn w:val="CommentText"/>
    <w:next w:val="CommentText"/>
    <w:link w:val="CommentSubjectChar"/>
    <w:uiPriority w:val="99"/>
    <w:semiHidden/>
    <w:unhideWhenUsed/>
    <w:rsid w:val="0084658D"/>
    <w:rPr>
      <w:b/>
      <w:bCs/>
    </w:rPr>
  </w:style>
  <w:style w:type="character" w:customStyle="1" w:styleId="CommentSubjectChar">
    <w:name w:val="Comment Subject Char"/>
    <w:basedOn w:val="CommentTextChar"/>
    <w:link w:val="CommentSubject"/>
    <w:uiPriority w:val="99"/>
    <w:semiHidden/>
    <w:rsid w:val="0084658D"/>
    <w:rPr>
      <w:b/>
      <w:bCs/>
      <w:sz w:val="20"/>
      <w:szCs w:val="20"/>
    </w:rPr>
  </w:style>
  <w:style w:type="paragraph" w:styleId="Revision">
    <w:name w:val="Revision"/>
    <w:hidden/>
    <w:uiPriority w:val="99"/>
    <w:semiHidden/>
    <w:rsid w:val="0084658D"/>
    <w:pPr>
      <w:spacing w:after="0" w:line="240" w:lineRule="auto"/>
    </w:pPr>
  </w:style>
  <w:style w:type="paragraph" w:styleId="ListParagraph">
    <w:name w:val="List Paragraph"/>
    <w:basedOn w:val="Normal"/>
    <w:uiPriority w:val="34"/>
    <w:qFormat/>
    <w:rsid w:val="00CD7411"/>
    <w:pPr>
      <w:spacing w:after="200" w:line="276" w:lineRule="auto"/>
      <w:ind w:left="720"/>
      <w:contextualSpacing/>
    </w:pPr>
  </w:style>
  <w:style w:type="paragraph" w:styleId="Subtitle">
    <w:name w:val="Subtitle"/>
    <w:basedOn w:val="Normal"/>
    <w:next w:val="Normal"/>
    <w:link w:val="SubtitleChar"/>
    <w:uiPriority w:val="11"/>
    <w:qFormat/>
    <w:rsid w:val="00CD7411"/>
    <w:pPr>
      <w:numPr>
        <w:ilvl w:val="1"/>
      </w:numPr>
    </w:pPr>
    <w:rPr>
      <w:rFonts w:eastAsiaTheme="minorEastAsia"/>
      <w:i/>
      <w:color w:val="595959" w:themeColor="text1" w:themeTint="A6"/>
      <w:spacing w:val="15"/>
      <w:sz w:val="20"/>
    </w:rPr>
  </w:style>
  <w:style w:type="character" w:customStyle="1" w:styleId="SubtitleChar">
    <w:name w:val="Subtitle Char"/>
    <w:basedOn w:val="DefaultParagraphFont"/>
    <w:link w:val="Subtitle"/>
    <w:uiPriority w:val="11"/>
    <w:rsid w:val="00CD7411"/>
    <w:rPr>
      <w:rFonts w:eastAsiaTheme="minorEastAsia"/>
      <w:i/>
      <w:color w:val="595959" w:themeColor="text1" w:themeTint="A6"/>
      <w:spacing w:val="15"/>
      <w:sz w:val="20"/>
    </w:rPr>
  </w:style>
  <w:style w:type="character" w:styleId="Hyperlink">
    <w:name w:val="Hyperlink"/>
    <w:basedOn w:val="DefaultParagraphFont"/>
    <w:uiPriority w:val="99"/>
    <w:unhideWhenUsed/>
    <w:rsid w:val="00C7067E"/>
    <w:rPr>
      <w:color w:val="0563C1" w:themeColor="hyperlink"/>
      <w:u w:val="single"/>
    </w:rPr>
  </w:style>
  <w:style w:type="character" w:customStyle="1" w:styleId="UnresolvedMention1">
    <w:name w:val="Unresolved Mention1"/>
    <w:basedOn w:val="DefaultParagraphFont"/>
    <w:uiPriority w:val="99"/>
    <w:semiHidden/>
    <w:unhideWhenUsed/>
    <w:rsid w:val="00C7067E"/>
    <w:rPr>
      <w:color w:val="605E5C"/>
      <w:shd w:val="clear" w:color="auto" w:fill="E1DFDD"/>
    </w:rPr>
  </w:style>
  <w:style w:type="paragraph" w:styleId="Header">
    <w:name w:val="header"/>
    <w:basedOn w:val="Normal"/>
    <w:link w:val="HeaderChar"/>
    <w:uiPriority w:val="99"/>
    <w:unhideWhenUsed/>
    <w:rsid w:val="00080A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0A91"/>
  </w:style>
  <w:style w:type="paragraph" w:styleId="Footer">
    <w:name w:val="footer"/>
    <w:basedOn w:val="Normal"/>
    <w:link w:val="FooterChar"/>
    <w:uiPriority w:val="99"/>
    <w:unhideWhenUsed/>
    <w:rsid w:val="00080A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0A91"/>
  </w:style>
  <w:style w:type="paragraph" w:customStyle="1" w:styleId="MLAfinalreporttitle">
    <w:name w:val="MLA final report title"/>
    <w:basedOn w:val="Normal"/>
    <w:autoRedefine/>
    <w:semiHidden/>
    <w:rsid w:val="00BC4873"/>
    <w:pPr>
      <w:spacing w:after="0" w:line="240" w:lineRule="auto"/>
      <w:ind w:left="1440"/>
      <w:jc w:val="both"/>
    </w:pPr>
    <w:rPr>
      <w:rFonts w:eastAsia="Times New Roman" w:cs="Arial"/>
      <w:b/>
      <w:color w:val="333333"/>
      <w:sz w:val="84"/>
      <w:szCs w:val="84"/>
      <w:lang w:val="en-US" w:bidi="en-US"/>
    </w:rPr>
  </w:style>
  <w:style w:type="paragraph" w:customStyle="1" w:styleId="MLAdisclaimer">
    <w:name w:val="MLA disclaimer"/>
    <w:basedOn w:val="MLAfinalreportText"/>
    <w:link w:val="MLAdisclaimerCharChar"/>
    <w:autoRedefine/>
    <w:rsid w:val="00BC4873"/>
    <w:pPr>
      <w:ind w:right="-133"/>
      <w:jc w:val="both"/>
    </w:pPr>
    <w:rPr>
      <w:rFonts w:cs="Arial"/>
      <w:b/>
      <w:sz w:val="16"/>
    </w:rPr>
  </w:style>
  <w:style w:type="character" w:customStyle="1" w:styleId="MLAdisclaimerCharChar">
    <w:name w:val="MLA disclaimer Char Char"/>
    <w:basedOn w:val="MLAfinalreportTextCharChar"/>
    <w:link w:val="MLAdisclaimer"/>
    <w:rsid w:val="00BC4873"/>
    <w:rPr>
      <w:rFonts w:eastAsia="Times New Roman" w:cs="Arial"/>
      <w:b/>
      <w:i/>
      <w:sz w:val="16"/>
      <w:lang w:bidi="en-US"/>
    </w:rPr>
  </w:style>
  <w:style w:type="character" w:customStyle="1" w:styleId="Style1">
    <w:name w:val="Style1"/>
    <w:basedOn w:val="DefaultParagraphFont"/>
    <w:uiPriority w:val="1"/>
    <w:rsid w:val="00BC4873"/>
    <w:rPr>
      <w:rFonts w:ascii="Arial" w:hAnsi="Arial"/>
      <w:b/>
      <w:sz w:val="44"/>
    </w:rPr>
  </w:style>
  <w:style w:type="paragraph" w:styleId="NoSpacing">
    <w:name w:val="No Spacing"/>
    <w:uiPriority w:val="1"/>
    <w:qFormat/>
    <w:rsid w:val="00BC4873"/>
    <w:pPr>
      <w:spacing w:after="0" w:line="240" w:lineRule="auto"/>
    </w:pPr>
  </w:style>
  <w:style w:type="paragraph" w:styleId="TOC1">
    <w:name w:val="toc 1"/>
    <w:basedOn w:val="Normal"/>
    <w:next w:val="Normal"/>
    <w:autoRedefine/>
    <w:uiPriority w:val="39"/>
    <w:unhideWhenUsed/>
    <w:rsid w:val="00F60C84"/>
    <w:pPr>
      <w:tabs>
        <w:tab w:val="left" w:pos="567"/>
        <w:tab w:val="right" w:leader="dot" w:pos="9016"/>
      </w:tabs>
      <w:spacing w:after="100" w:line="276" w:lineRule="auto"/>
      <w:ind w:left="567" w:hanging="567"/>
    </w:pPr>
    <w:rPr>
      <w:rFonts w:cs="Arial"/>
      <w:b/>
      <w:noProof/>
      <w:sz w:val="28"/>
    </w:rPr>
  </w:style>
  <w:style w:type="paragraph" w:styleId="TOC2">
    <w:name w:val="toc 2"/>
    <w:basedOn w:val="Normal"/>
    <w:next w:val="Normal"/>
    <w:autoRedefine/>
    <w:uiPriority w:val="39"/>
    <w:unhideWhenUsed/>
    <w:rsid w:val="00F60C84"/>
    <w:pPr>
      <w:tabs>
        <w:tab w:val="left" w:pos="1134"/>
        <w:tab w:val="left" w:pos="1276"/>
        <w:tab w:val="right" w:leader="dot" w:pos="9016"/>
      </w:tabs>
      <w:spacing w:after="100" w:line="276" w:lineRule="auto"/>
      <w:ind w:left="1134" w:hanging="567"/>
    </w:pPr>
    <w:rPr>
      <w:rFonts w:cs="Arial"/>
      <w:b/>
      <w:noProof/>
      <w:sz w:val="28"/>
    </w:rPr>
  </w:style>
  <w:style w:type="paragraph" w:styleId="TOC3">
    <w:name w:val="toc 3"/>
    <w:basedOn w:val="Normal"/>
    <w:next w:val="Normal"/>
    <w:autoRedefine/>
    <w:uiPriority w:val="39"/>
    <w:unhideWhenUsed/>
    <w:rsid w:val="00F60C84"/>
    <w:pPr>
      <w:tabs>
        <w:tab w:val="left" w:pos="1276"/>
        <w:tab w:val="right" w:leader="dot" w:pos="9016"/>
      </w:tabs>
      <w:spacing w:after="100" w:line="276" w:lineRule="auto"/>
      <w:ind w:left="1276" w:hanging="709"/>
    </w:pPr>
    <w:rPr>
      <w:rFonts w:cs="Arial"/>
      <w:noProof/>
      <w:sz w:val="24"/>
      <w:szCs w:val="24"/>
    </w:rPr>
  </w:style>
  <w:style w:type="paragraph" w:customStyle="1" w:styleId="MLAHeading">
    <w:name w:val="MLA Heading"/>
    <w:basedOn w:val="Normal"/>
    <w:qFormat/>
    <w:rsid w:val="00F60C84"/>
    <w:pPr>
      <w:spacing w:before="240" w:after="240" w:line="240" w:lineRule="auto"/>
    </w:pPr>
    <w:rPr>
      <w:rFonts w:ascii="Arial" w:eastAsia="Times New Roman" w:hAnsi="Arial" w:cs="Times New Roman"/>
      <w:b/>
      <w:sz w:val="32"/>
    </w:rPr>
  </w:style>
  <w:style w:type="paragraph" w:styleId="TOC4">
    <w:name w:val="toc 4"/>
    <w:basedOn w:val="Normal"/>
    <w:next w:val="Normal"/>
    <w:autoRedefine/>
    <w:uiPriority w:val="39"/>
    <w:unhideWhenUsed/>
    <w:rsid w:val="00F60C84"/>
    <w:pPr>
      <w:spacing w:after="100" w:line="276" w:lineRule="auto"/>
      <w:ind w:left="660"/>
    </w:pPr>
    <w:rPr>
      <w:rFonts w:eastAsiaTheme="minorEastAsia"/>
      <w:lang w:eastAsia="en-AU"/>
    </w:rPr>
  </w:style>
  <w:style w:type="paragraph" w:styleId="FootnoteText">
    <w:name w:val="footnote text"/>
    <w:basedOn w:val="Normal"/>
    <w:link w:val="FootnoteTextChar"/>
    <w:uiPriority w:val="99"/>
    <w:semiHidden/>
    <w:unhideWhenUsed/>
    <w:rsid w:val="0057485E"/>
    <w:pPr>
      <w:spacing w:after="0" w:line="240" w:lineRule="auto"/>
    </w:pPr>
    <w:rPr>
      <w:rFonts w:eastAsiaTheme="minorEastAsia"/>
      <w:sz w:val="20"/>
      <w:szCs w:val="20"/>
      <w:lang w:eastAsia="en-AU"/>
    </w:rPr>
  </w:style>
  <w:style w:type="character" w:customStyle="1" w:styleId="FootnoteTextChar">
    <w:name w:val="Footnote Text Char"/>
    <w:basedOn w:val="DefaultParagraphFont"/>
    <w:link w:val="FootnoteText"/>
    <w:uiPriority w:val="99"/>
    <w:semiHidden/>
    <w:rsid w:val="0057485E"/>
    <w:rPr>
      <w:rFonts w:eastAsiaTheme="minorEastAsia"/>
      <w:sz w:val="20"/>
      <w:szCs w:val="20"/>
      <w:lang w:eastAsia="en-AU"/>
    </w:rPr>
  </w:style>
  <w:style w:type="character" w:styleId="FootnoteReference">
    <w:name w:val="footnote reference"/>
    <w:basedOn w:val="DefaultParagraphFont"/>
    <w:uiPriority w:val="99"/>
    <w:semiHidden/>
    <w:unhideWhenUsed/>
    <w:rsid w:val="0057485E"/>
    <w:rPr>
      <w:vertAlign w:val="superscript"/>
    </w:rPr>
  </w:style>
  <w:style w:type="paragraph" w:customStyle="1" w:styleId="paragraph">
    <w:name w:val="paragraph"/>
    <w:basedOn w:val="Normal"/>
    <w:rsid w:val="00801A5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801A5F"/>
  </w:style>
  <w:style w:type="character" w:customStyle="1" w:styleId="eop">
    <w:name w:val="eop"/>
    <w:basedOn w:val="DefaultParagraphFont"/>
    <w:rsid w:val="00801A5F"/>
  </w:style>
  <w:style w:type="table" w:customStyle="1" w:styleId="TableGrid1">
    <w:name w:val="Table Grid1"/>
    <w:basedOn w:val="TableNormal"/>
    <w:next w:val="TableGrid"/>
    <w:uiPriority w:val="39"/>
    <w:rsid w:val="00E87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87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87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B2F4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912968">
      <w:bodyDiv w:val="1"/>
      <w:marLeft w:val="0"/>
      <w:marRight w:val="0"/>
      <w:marTop w:val="0"/>
      <w:marBottom w:val="0"/>
      <w:divBdr>
        <w:top w:val="none" w:sz="0" w:space="0" w:color="auto"/>
        <w:left w:val="none" w:sz="0" w:space="0" w:color="auto"/>
        <w:bottom w:val="none" w:sz="0" w:space="0" w:color="auto"/>
        <w:right w:val="none" w:sz="0" w:space="0" w:color="auto"/>
      </w:divBdr>
      <w:divsChild>
        <w:div w:id="324432853">
          <w:marLeft w:val="0"/>
          <w:marRight w:val="0"/>
          <w:marTop w:val="0"/>
          <w:marBottom w:val="0"/>
          <w:divBdr>
            <w:top w:val="none" w:sz="0" w:space="0" w:color="auto"/>
            <w:left w:val="none" w:sz="0" w:space="0" w:color="auto"/>
            <w:bottom w:val="none" w:sz="0" w:space="0" w:color="auto"/>
            <w:right w:val="none" w:sz="0" w:space="0" w:color="auto"/>
          </w:divBdr>
        </w:div>
        <w:div w:id="1697779170">
          <w:marLeft w:val="0"/>
          <w:marRight w:val="0"/>
          <w:marTop w:val="0"/>
          <w:marBottom w:val="0"/>
          <w:divBdr>
            <w:top w:val="none" w:sz="0" w:space="0" w:color="auto"/>
            <w:left w:val="none" w:sz="0" w:space="0" w:color="auto"/>
            <w:bottom w:val="none" w:sz="0" w:space="0" w:color="auto"/>
            <w:right w:val="none" w:sz="0" w:space="0" w:color="auto"/>
          </w:divBdr>
        </w:div>
        <w:div w:id="270747041">
          <w:marLeft w:val="0"/>
          <w:marRight w:val="0"/>
          <w:marTop w:val="0"/>
          <w:marBottom w:val="0"/>
          <w:divBdr>
            <w:top w:val="none" w:sz="0" w:space="0" w:color="auto"/>
            <w:left w:val="none" w:sz="0" w:space="0" w:color="auto"/>
            <w:bottom w:val="none" w:sz="0" w:space="0" w:color="auto"/>
            <w:right w:val="none" w:sz="0" w:space="0" w:color="auto"/>
          </w:divBdr>
        </w:div>
        <w:div w:id="1252855109">
          <w:marLeft w:val="0"/>
          <w:marRight w:val="0"/>
          <w:marTop w:val="0"/>
          <w:marBottom w:val="0"/>
          <w:divBdr>
            <w:top w:val="none" w:sz="0" w:space="0" w:color="auto"/>
            <w:left w:val="none" w:sz="0" w:space="0" w:color="auto"/>
            <w:bottom w:val="none" w:sz="0" w:space="0" w:color="auto"/>
            <w:right w:val="none" w:sz="0" w:space="0" w:color="auto"/>
          </w:divBdr>
        </w:div>
      </w:divsChild>
    </w:div>
    <w:div w:id="141112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eader" Target="header2.xml"/><Relationship Id="rId39" Type="http://schemas.openxmlformats.org/officeDocument/2006/relationships/image" Target="media/image22.emf"/><Relationship Id="rId21" Type="http://schemas.openxmlformats.org/officeDocument/2006/relationships/image" Target="media/image9.emf"/><Relationship Id="rId34" Type="http://schemas.openxmlformats.org/officeDocument/2006/relationships/image" Target="media/image17.jpeg"/><Relationship Id="rId42" Type="http://schemas.openxmlformats.org/officeDocument/2006/relationships/image" Target="media/image25.emf"/><Relationship Id="rId47" Type="http://schemas.openxmlformats.org/officeDocument/2006/relationships/hyperlink" Target="http://www.ampc.com.au/uploads/cgblog/id442/2019-1059_FINAL_Emissions_Policies_and_Pathways_Report_formatted_2623916_1.pdf." TargetMode="External"/><Relationship Id="rId50" Type="http://schemas.openxmlformats.org/officeDocument/2006/relationships/hyperlink" Target="https://www.climateactive.org.au/what-climate-active" TargetMode="External"/><Relationship Id="rId55" Type="http://schemas.openxmlformats.org/officeDocument/2006/relationships/hyperlink" Target="https://eciu.net/netzerotracker/map" TargetMode="External"/><Relationship Id="rId63" Type="http://schemas.openxmlformats.org/officeDocument/2006/relationships/hyperlink" Target="https://carbonmarketinstitute.org/app/uploads/2021/09/5th-Carbon-Farming-Industry-Forum-Program.pdf" TargetMode="External"/><Relationship Id="rId68" Type="http://schemas.openxmlformats.org/officeDocument/2006/relationships/hyperlink" Target="https://carbonneutral.com/pdfs/The_CarbonNeutral_Protocol_Jan_2020.pdf" TargetMode="External"/><Relationship Id="rId76" Type="http://schemas.openxmlformats.org/officeDocument/2006/relationships/image" Target="media/image34.emf"/><Relationship Id="rId7" Type="http://schemas.openxmlformats.org/officeDocument/2006/relationships/styles" Target="styles.xml"/><Relationship Id="rId71" Type="http://schemas.openxmlformats.org/officeDocument/2006/relationships/image" Target="media/image29.emf"/><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footer" Target="footer2.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emf"/><Relationship Id="rId45" Type="http://schemas.openxmlformats.org/officeDocument/2006/relationships/hyperlink" Target="https://www.awe.gov.au/biosecurity-trade/export/controlled-goods/meat/statistics/red-meat-stats-2020" TargetMode="External"/><Relationship Id="rId53" Type="http://schemas.openxmlformats.org/officeDocument/2006/relationships/hyperlink" Target="https://www.minister.industry.gov.au/ministers/taylor/media-releases/new-erf-method-and-2022-priorities-announced" TargetMode="External"/><Relationship Id="rId58" Type="http://schemas.openxmlformats.org/officeDocument/2006/relationships/hyperlink" Target="https://ghgprotocol.org/guidance-0" TargetMode="External"/><Relationship Id="rId66" Type="http://schemas.openxmlformats.org/officeDocument/2006/relationships/hyperlink" Target="https://sciencebasedtargets.org/resources/files/foundations-for-net-zero-full-paper.pdf" TargetMode="External"/><Relationship Id="rId74" Type="http://schemas.openxmlformats.org/officeDocument/2006/relationships/image" Target="media/image32.emf"/><Relationship Id="rId79"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hyperlink" Target="https://www.mla.com.au/globalassets/mla-corporate/prices--markets/documents/os-markets/red-meat-market-snapshots/2021/global-beef-industry-and-trade-report.pdf" TargetMode="External"/><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image" Target="media/image14.jpeg"/><Relationship Id="rId44" Type="http://schemas.openxmlformats.org/officeDocument/2006/relationships/image" Target="media/image27.emf"/><Relationship Id="rId52" Type="http://schemas.openxmlformats.org/officeDocument/2006/relationships/hyperlink" Target="https://consult.industry.gov.au/erf-method-development-priorities-for-2022." TargetMode="External"/><Relationship Id="rId60" Type="http://schemas.openxmlformats.org/officeDocument/2006/relationships/hyperlink" Target="https://www.mla.com.au/globalassets/mla-corporate/research-and-development/program-areas/environment-and-sustainability/2689-mla-cn30-roadmap_d3.pdf%20a" TargetMode="External"/><Relationship Id="rId65" Type="http://schemas.openxmlformats.org/officeDocument/2006/relationships/hyperlink" Target="https://ourworldindata.org/greenhouse-gas-emissions-food" TargetMode="External"/><Relationship Id="rId73" Type="http://schemas.openxmlformats.org/officeDocument/2006/relationships/image" Target="media/image31.emf"/><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2.emf"/><Relationship Id="rId30" Type="http://schemas.openxmlformats.org/officeDocument/2006/relationships/image" Target="media/image13.emf"/><Relationship Id="rId35" Type="http://schemas.openxmlformats.org/officeDocument/2006/relationships/image" Target="media/image18.jpeg"/><Relationship Id="rId43" Type="http://schemas.openxmlformats.org/officeDocument/2006/relationships/image" Target="media/image26.emf"/><Relationship Id="rId48" Type="http://schemas.openxmlformats.org/officeDocument/2006/relationships/hyperlink" Target="http://www.cleanenergyregulator.gov.au/ERF/Pages/default.aspx" TargetMode="External"/><Relationship Id="rId56" Type="http://schemas.openxmlformats.org/officeDocument/2006/relationships/hyperlink" Target="https://docs.score-environnemental.com/v/en/" TargetMode="External"/><Relationship Id="rId64" Type="http://schemas.openxmlformats.org/officeDocument/2006/relationships/hyperlink" Target="https://www.rabobank.nl/en/about-us/carbon-bank" TargetMode="External"/><Relationship Id="rId69" Type="http://schemas.openxmlformats.org/officeDocument/2006/relationships/hyperlink" Target="https://data.worldbank.org/topic/19" TargetMode="External"/><Relationship Id="rId77" Type="http://schemas.openxmlformats.org/officeDocument/2006/relationships/image" Target="media/image35.emf"/><Relationship Id="rId8" Type="http://schemas.openxmlformats.org/officeDocument/2006/relationships/settings" Target="settings.xml"/><Relationship Id="rId51" Type="http://schemas.openxmlformats.org/officeDocument/2006/relationships/hyperlink" Target="https://climateactiontracker.org/" TargetMode="External"/><Relationship Id="rId72" Type="http://schemas.openxmlformats.org/officeDocument/2006/relationships/image" Target="media/image30.emf"/><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footer" Target="footer1.xml"/><Relationship Id="rId33" Type="http://schemas.openxmlformats.org/officeDocument/2006/relationships/image" Target="media/image16.jpeg"/><Relationship Id="rId38" Type="http://schemas.openxmlformats.org/officeDocument/2006/relationships/image" Target="media/image21.emf"/><Relationship Id="rId46" Type="http://schemas.openxmlformats.org/officeDocument/2006/relationships/hyperlink" Target="http://www.accc.gov.au" TargetMode="External"/><Relationship Id="rId59" Type="http://schemas.openxmlformats.org/officeDocument/2006/relationships/hyperlink" Target="https://www.foodagilitysummit2021.com/speakers?utm_medium=email&amp;_hsmi=115461292&amp;_hsenc=p2ANqtz--ME0SSanF7TPj77M6HhK8tXEOwBWERtzmMLqckSyOA1yl5EZNcXLhwHjURTOCN1autn0tOyAeLfAY3YFjDbVUrlSaGMkOng9LsGqiu51fjCdSFcUE&amp;utm_content=115461292&amp;utm_source=hs_email" TargetMode="External"/><Relationship Id="rId67" Type="http://schemas.openxmlformats.org/officeDocument/2006/relationships/hyperlink" Target="https://sciencebasedtargets.org/resources/files/SBTi-criteria.pdf" TargetMode="External"/><Relationship Id="rId20" Type="http://schemas.openxmlformats.org/officeDocument/2006/relationships/image" Target="media/image8.emf"/><Relationship Id="rId41" Type="http://schemas.openxmlformats.org/officeDocument/2006/relationships/image" Target="media/image24.emf"/><Relationship Id="rId54" Type="http://schemas.openxmlformats.org/officeDocument/2006/relationships/hyperlink" Target="http://piccc.org.au/Tools" TargetMode="External"/><Relationship Id="rId62" Type="http://schemas.openxmlformats.org/officeDocument/2006/relationships/hyperlink" Target="https://www.mla.com.au/globalassets/mla-corporate/research-and-development/program-areas/feeding-finishing-and-nutrition/pathways-to-carbon-neutrality-for-australian-feedlots.pdf" TargetMode="External"/><Relationship Id="rId70" Type="http://schemas.openxmlformats.org/officeDocument/2006/relationships/image" Target="media/image28.png"/><Relationship Id="rId75"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header" Target="header3.xml"/><Relationship Id="rId36" Type="http://schemas.openxmlformats.org/officeDocument/2006/relationships/image" Target="media/image19.emf"/><Relationship Id="rId49" Type="http://schemas.openxmlformats.org/officeDocument/2006/relationships/hyperlink" Target="https://www.climateactive.org.au/buy-climate-active/certified-members/five-founders-beef" TargetMode="External"/><Relationship Id="rId57" Type="http://schemas.openxmlformats.org/officeDocument/2006/relationships/hyperlink" Target="https://eciu.net/netzerotracker/map"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192BF1F652541FE877036D1BB6D398C"/>
        <w:category>
          <w:name w:val="General"/>
          <w:gallery w:val="placeholder"/>
        </w:category>
        <w:types>
          <w:type w:val="bbPlcHdr"/>
        </w:types>
        <w:behaviors>
          <w:behavior w:val="content"/>
        </w:behaviors>
        <w:guid w:val="{8433BD96-1A54-4CCE-A592-FD37794658F6}"/>
      </w:docPartPr>
      <w:docPartBody>
        <w:p w:rsidR="006C76A1" w:rsidRDefault="00AD0A78" w:rsidP="00AD0A78">
          <w:pPr>
            <w:pStyle w:val="4192BF1F652541FE877036D1BB6D398C"/>
          </w:pPr>
          <w:r w:rsidRPr="00D2459C">
            <w:rPr>
              <w:rStyle w:val="PlaceholderText"/>
            </w:rPr>
            <w:t>Click here to enter text.</w:t>
          </w:r>
        </w:p>
      </w:docPartBody>
    </w:docPart>
    <w:docPart>
      <w:docPartPr>
        <w:name w:val="843BEFE5F71C46759159C220782A98A5"/>
        <w:category>
          <w:name w:val="General"/>
          <w:gallery w:val="placeholder"/>
        </w:category>
        <w:types>
          <w:type w:val="bbPlcHdr"/>
        </w:types>
        <w:behaviors>
          <w:behavior w:val="content"/>
        </w:behaviors>
        <w:guid w:val="{7B0A4BA4-A4E6-412B-ACAA-9158130DA475}"/>
      </w:docPartPr>
      <w:docPartBody>
        <w:p w:rsidR="00B02CAD" w:rsidRDefault="00825E2B" w:rsidP="00825E2B">
          <w:pPr>
            <w:pStyle w:val="843BEFE5F71C46759159C220782A98A5"/>
          </w:pPr>
          <w:r w:rsidRPr="00E97F39">
            <w:rPr>
              <w:rStyle w:val="Style1"/>
              <w:sz w:val="40"/>
              <w:szCs w:val="40"/>
            </w:rPr>
            <w:t xml:space="preserve">Title, Calibri, Bold, size 18-22, </w:t>
          </w:r>
          <w:r w:rsidRPr="00E97F39">
            <w:rPr>
              <w:rFonts w:cs="Arial"/>
              <w:b/>
              <w:sz w:val="40"/>
              <w:szCs w:val="40"/>
            </w:rPr>
            <w:t>less than 200 characters</w:t>
          </w:r>
          <w:r w:rsidRPr="00E97F39">
            <w:rPr>
              <w:rStyle w:val="Style1"/>
              <w:sz w:val="40"/>
              <w:szCs w:val="40"/>
            </w:rPr>
            <w:t xml:space="preserve"> </w:t>
          </w:r>
          <w:r w:rsidRPr="00684155">
            <w:rPr>
              <w:rStyle w:val="Style1"/>
              <w:sz w:val="32"/>
              <w:szCs w:val="32"/>
            </w:rPr>
            <w:t xml:space="preserve">  </w:t>
          </w:r>
        </w:p>
      </w:docPartBody>
    </w:docPart>
    <w:docPart>
      <w:docPartPr>
        <w:name w:val="DBCE0B35C47144D4B7B056F919F5F15B"/>
        <w:category>
          <w:name w:val="General"/>
          <w:gallery w:val="placeholder"/>
        </w:category>
        <w:types>
          <w:type w:val="bbPlcHdr"/>
        </w:types>
        <w:behaviors>
          <w:behavior w:val="content"/>
        </w:behaviors>
        <w:guid w:val="{DE8CAE9A-8A74-4DD0-86DF-74A213F6D6E4}"/>
      </w:docPartPr>
      <w:docPartBody>
        <w:p w:rsidR="00B02CAD" w:rsidRDefault="00825E2B" w:rsidP="00825E2B">
          <w:pPr>
            <w:pStyle w:val="DBCE0B35C47144D4B7B056F919F5F15B"/>
          </w:pPr>
          <w:r w:rsidRPr="00D2459C">
            <w:rPr>
              <w:rStyle w:val="PlaceholderText"/>
            </w:rPr>
            <w:t>Click here to enter text.</w:t>
          </w:r>
        </w:p>
      </w:docPartBody>
    </w:docPart>
    <w:docPart>
      <w:docPartPr>
        <w:name w:val="3A9420F655E94BFEB3A7417E357BDCC9"/>
        <w:category>
          <w:name w:val="General"/>
          <w:gallery w:val="placeholder"/>
        </w:category>
        <w:types>
          <w:type w:val="bbPlcHdr"/>
        </w:types>
        <w:behaviors>
          <w:behavior w:val="content"/>
        </w:behaviors>
        <w:guid w:val="{5453F4A9-9A9F-4B88-9D13-650847583C18}"/>
      </w:docPartPr>
      <w:docPartBody>
        <w:p w:rsidR="00B02CAD" w:rsidRDefault="00825E2B" w:rsidP="00825E2B">
          <w:pPr>
            <w:pStyle w:val="3A9420F655E94BFEB3A7417E357BDCC9"/>
          </w:pPr>
          <w:r w:rsidRPr="00D630D9">
            <w:rPr>
              <w:rFonts w:cs="Arial"/>
            </w:rPr>
            <w:t>&lt;MLA project code = X.XXX.nnnn&gt;</w:t>
          </w:r>
        </w:p>
      </w:docPartBody>
    </w:docPart>
    <w:docPart>
      <w:docPartPr>
        <w:name w:val="333EAFD3FD5546428128FF4B78D3814B"/>
        <w:category>
          <w:name w:val="General"/>
          <w:gallery w:val="placeholder"/>
        </w:category>
        <w:types>
          <w:type w:val="bbPlcHdr"/>
        </w:types>
        <w:behaviors>
          <w:behavior w:val="content"/>
        </w:behaviors>
        <w:guid w:val="{044CEEEC-B71C-4D31-930D-E24173F46D7C}"/>
      </w:docPartPr>
      <w:docPartBody>
        <w:p w:rsidR="00B02CAD" w:rsidRDefault="00825E2B" w:rsidP="00825E2B">
          <w:pPr>
            <w:pStyle w:val="333EAFD3FD5546428128FF4B78D3814B"/>
          </w:pPr>
          <w:r w:rsidRPr="00D630D9">
            <w:rPr>
              <w:rFonts w:cs="Arial"/>
            </w:rPr>
            <w:t>&lt;Preparer’s Name&gt;</w:t>
          </w:r>
        </w:p>
      </w:docPartBody>
    </w:docPart>
    <w:docPart>
      <w:docPartPr>
        <w:name w:val="E636EEC1217F461FB64CB87A8296BA52"/>
        <w:category>
          <w:name w:val="General"/>
          <w:gallery w:val="placeholder"/>
        </w:category>
        <w:types>
          <w:type w:val="bbPlcHdr"/>
        </w:types>
        <w:behaviors>
          <w:behavior w:val="content"/>
        </w:behaviors>
        <w:guid w:val="{FEE7B92C-30F4-483F-8D5D-5879357AA1B1}"/>
      </w:docPartPr>
      <w:docPartBody>
        <w:p w:rsidR="00B02CAD" w:rsidRDefault="00825E2B" w:rsidP="00825E2B">
          <w:pPr>
            <w:pStyle w:val="E636EEC1217F461FB64CB87A8296BA52"/>
          </w:pPr>
          <w:r w:rsidRPr="00D630D9">
            <w:rPr>
              <w:rFonts w:cs="Arial"/>
            </w:rPr>
            <w:t>&lt;Preparer’s Company Name - no acronyms&gt;</w:t>
          </w:r>
        </w:p>
      </w:docPartBody>
    </w:docPart>
    <w:docPart>
      <w:docPartPr>
        <w:name w:val="6BD69FC95E12422593E7917A75BFDDDF"/>
        <w:category>
          <w:name w:val="General"/>
          <w:gallery w:val="placeholder"/>
        </w:category>
        <w:types>
          <w:type w:val="bbPlcHdr"/>
        </w:types>
        <w:behaviors>
          <w:behavior w:val="content"/>
        </w:behaviors>
        <w:guid w:val="{53369226-C99A-4926-9518-69ABCCDAC274}"/>
      </w:docPartPr>
      <w:docPartBody>
        <w:p w:rsidR="00B02CAD" w:rsidRDefault="00825E2B" w:rsidP="00825E2B">
          <w:pPr>
            <w:pStyle w:val="6BD69FC95E12422593E7917A75BFDDDF"/>
          </w:pPr>
          <w:r w:rsidRPr="00D630D9">
            <w:rPr>
              <w:rFonts w:cs="Arial"/>
            </w:rPr>
            <w:t>&lt;Day, Month and Year - e.g.10 April 2015&gt;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A78"/>
    <w:rsid w:val="002447AC"/>
    <w:rsid w:val="003C7FE0"/>
    <w:rsid w:val="004E71F3"/>
    <w:rsid w:val="005E5BB2"/>
    <w:rsid w:val="006547A2"/>
    <w:rsid w:val="006C76A1"/>
    <w:rsid w:val="00821E56"/>
    <w:rsid w:val="00825E2B"/>
    <w:rsid w:val="00AA50AE"/>
    <w:rsid w:val="00AD0A78"/>
    <w:rsid w:val="00B02CAD"/>
    <w:rsid w:val="00BD5E81"/>
    <w:rsid w:val="00CB6C1B"/>
    <w:rsid w:val="00CD5501"/>
    <w:rsid w:val="00D220E5"/>
    <w:rsid w:val="00EA47CE"/>
    <w:rsid w:val="00EB0B61"/>
    <w:rsid w:val="00EE6A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5E2B"/>
    <w:rPr>
      <w:color w:val="808080"/>
    </w:rPr>
  </w:style>
  <w:style w:type="character" w:customStyle="1" w:styleId="Style1">
    <w:name w:val="Style1"/>
    <w:basedOn w:val="DefaultParagraphFont"/>
    <w:uiPriority w:val="1"/>
    <w:rsid w:val="00825E2B"/>
    <w:rPr>
      <w:rFonts w:ascii="Arial" w:hAnsi="Arial"/>
      <w:b/>
      <w:sz w:val="44"/>
    </w:rPr>
  </w:style>
  <w:style w:type="paragraph" w:customStyle="1" w:styleId="4192BF1F652541FE877036D1BB6D398C">
    <w:name w:val="4192BF1F652541FE877036D1BB6D398C"/>
    <w:rsid w:val="00AD0A78"/>
  </w:style>
  <w:style w:type="paragraph" w:customStyle="1" w:styleId="843BEFE5F71C46759159C220782A98A5">
    <w:name w:val="843BEFE5F71C46759159C220782A98A5"/>
    <w:rsid w:val="00825E2B"/>
  </w:style>
  <w:style w:type="paragraph" w:customStyle="1" w:styleId="DBCE0B35C47144D4B7B056F919F5F15B">
    <w:name w:val="DBCE0B35C47144D4B7B056F919F5F15B"/>
    <w:rsid w:val="00825E2B"/>
  </w:style>
  <w:style w:type="paragraph" w:customStyle="1" w:styleId="3A9420F655E94BFEB3A7417E357BDCC9">
    <w:name w:val="3A9420F655E94BFEB3A7417E357BDCC9"/>
    <w:rsid w:val="00825E2B"/>
  </w:style>
  <w:style w:type="paragraph" w:customStyle="1" w:styleId="333EAFD3FD5546428128FF4B78D3814B">
    <w:name w:val="333EAFD3FD5546428128FF4B78D3814B"/>
    <w:rsid w:val="00825E2B"/>
  </w:style>
  <w:style w:type="paragraph" w:customStyle="1" w:styleId="E636EEC1217F461FB64CB87A8296BA52">
    <w:name w:val="E636EEC1217F461FB64CB87A8296BA52"/>
    <w:rsid w:val="00825E2B"/>
  </w:style>
  <w:style w:type="paragraph" w:customStyle="1" w:styleId="6BD69FC95E12422593E7917A75BFDDDF">
    <w:name w:val="6BD69FC95E12422593E7917A75BFDDDF"/>
    <w:rsid w:val="00825E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71DBBAAFF8F234786F3FE35C2C55285" ma:contentTypeVersion="39" ma:contentTypeDescription="Create a new document." ma:contentTypeScope="" ma:versionID="f213238d0aeb72b6a9c44cbfd8ca29ce">
  <xsd:schema xmlns:xsd="http://www.w3.org/2001/XMLSchema" xmlns:xs="http://www.w3.org/2001/XMLSchema" xmlns:p="http://schemas.microsoft.com/office/2006/metadata/properties" xmlns:ns1="http://schemas.microsoft.com/sharepoint/v3" xmlns:ns2="812f1821-9b08-4c39-99da-29d577233d6f" xmlns:ns3="4b62e893-22f0-4291-b835-e3dda2a89aab" xmlns:ns4="406d9aec-898d-46cb-bf31-c4360018fedc" xmlns:ns5="http://schemas.microsoft.com/sharepoint/v4" targetNamespace="http://schemas.microsoft.com/office/2006/metadata/properties" ma:root="true" ma:fieldsID="5ef2373ad136b03a71a373401b939d18" ns1:_="" ns2:_="" ns3:_="" ns4:_="" ns5:_="">
    <xsd:import namespace="http://schemas.microsoft.com/sharepoint/v3"/>
    <xsd:import namespace="812f1821-9b08-4c39-99da-29d577233d6f"/>
    <xsd:import namespace="4b62e893-22f0-4291-b835-e3dda2a89aab"/>
    <xsd:import namespace="406d9aec-898d-46cb-bf31-c4360018fedc"/>
    <xsd:import namespace="http://schemas.microsoft.com/sharepoint/v4"/>
    <xsd:element name="properties">
      <xsd:complexType>
        <xsd:sequence>
          <xsd:element name="documentManagement">
            <xsd:complexType>
              <xsd:all>
                <xsd:element ref="ns2:Description0" minOccurs="0"/>
                <xsd:element ref="ns2:Notes" minOccurs="0"/>
                <xsd:element ref="ns3:Original_x0020_Created" minOccurs="0"/>
                <xsd:element ref="ns3:Original_x0020_Modified" minOccurs="0"/>
                <xsd:element ref="ns3:Attach_x0020_Count" minOccurs="0"/>
                <xsd:element ref="ns3:Original_x0020_Author" minOccurs="0"/>
                <xsd:element ref="ns3:Importance" minOccurs="0"/>
                <xsd:element ref="ns3:Message_x0020_ID" minOccurs="0"/>
                <xsd:element ref="ns3:BCC" minOccurs="0"/>
                <xsd:element ref="ns3:CC" minOccurs="0"/>
                <xsd:element ref="ns3:Original_x0020_Producer" minOccurs="0"/>
                <xsd:element ref="ns3:Received_x0020_Time" minOccurs="0"/>
                <xsd:element ref="ns3:Sensitivity" minOccurs="0"/>
                <xsd:element ref="ns3:Sent_x0020_On" minOccurs="0"/>
                <xsd:element ref="ns3:To" minOccurs="0"/>
                <xsd:element ref="ns4:_dlc_DocId" minOccurs="0"/>
                <xsd:element ref="ns4:_dlc_DocIdUrl" minOccurs="0"/>
                <xsd:element ref="ns4:_dlc_DocIdPersistId" minOccurs="0"/>
                <xsd:element ref="ns2:MediaServiceMetadata" minOccurs="0"/>
                <xsd:element ref="ns2:MediaServiceFastMetadata" minOccurs="0"/>
                <xsd:element ref="ns2:MediaServiceAutoKeyPoints" minOccurs="0"/>
                <xsd:element ref="ns2:MediaServiceKeyPoints" minOccurs="0"/>
                <xsd:element ref="ns4:SharedWithUsers" minOccurs="0"/>
                <xsd:element ref="ns4:SharedWithDetails" minOccurs="0"/>
                <xsd:element ref="ns2:MediaServiceDateTaken" minOccurs="0"/>
                <xsd:element ref="ns3:Conversation_x0020_Topic" minOccurs="0"/>
                <xsd:element ref="ns3:From1" minOccurs="0"/>
                <xsd:element ref="ns5:IconOverlay" minOccurs="0"/>
                <xsd:element ref="ns1:_vti_ItemDeclaredRecord" minOccurs="0"/>
                <xsd:element ref="ns1:_vti_ItemHoldRecordStatu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36" nillable="true" ma:displayName="Declared Record" ma:hidden="true" ma:internalName="_vti_ItemDeclaredRecord" ma:readOnly="true">
      <xsd:simpleType>
        <xsd:restriction base="dms:DateTime"/>
      </xsd:simpleType>
    </xsd:element>
    <xsd:element name="_vti_ItemHoldRecordStatus" ma:index="37"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2f1821-9b08-4c39-99da-29d577233d6f" elementFormDefault="qualified">
    <xsd:import namespace="http://schemas.microsoft.com/office/2006/documentManagement/types"/>
    <xsd:import namespace="http://schemas.microsoft.com/office/infopath/2007/PartnerControls"/>
    <xsd:element name="Description0" ma:index="1" nillable="true" ma:displayName="Description." ma:description="ghj" ma:format="Dropdown" ma:internalName="Description0">
      <xsd:simpleType>
        <xsd:restriction base="dms:Note">
          <xsd:maxLength value="255"/>
        </xsd:restriction>
      </xsd:simpleType>
    </xsd:element>
    <xsd:element name="Notes" ma:index="2" nillable="true" ma:displayName="BSO notes" ma:format="Dropdown" ma:internalName="Notes" ma:readOnly="false">
      <xsd:simpleType>
        <xsd:restriction base="dms:Note">
          <xsd:maxLength value="255"/>
        </xsd:restriction>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hidden="true" ma:internalName="MediaServiceKeyPoints" ma:readOnly="true">
      <xsd:simpleType>
        <xsd:restriction base="dms:Note"/>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Tags" ma:index="38" nillable="true" ma:displayName="Tags" ma:hidden="true" ma:internalName="MediaServiceAutoTags" ma:readOnly="true">
      <xsd:simpleType>
        <xsd:restriction base="dms:Text"/>
      </xsd:simpleType>
    </xsd:element>
    <xsd:element name="MediaServiceOCR" ma:index="39" nillable="true" ma:displayName="Extracted Text" ma:hidden="true" ma:internalName="MediaServiceOCR" ma:readOnly="true">
      <xsd:simpleType>
        <xsd:restriction base="dms:Note"/>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Location" ma:index="42" nillable="true" ma:displayName="Location" ma:hidden="true" ma:internalName="MediaServiceLocation" ma:readOnly="true">
      <xsd:simpleType>
        <xsd:restriction base="dms:Text"/>
      </xsd:simpleType>
    </xsd:element>
    <xsd:element name="MediaLengthInSeconds" ma:index="43" nillable="true" ma:displayName="Length (seconds)" ma:internalName="MediaLengthInSeconds" ma:readOnly="true">
      <xsd:simpleType>
        <xsd:restriction base="dms:Unknown"/>
      </xsd:simpleType>
    </xsd:element>
    <xsd:element name="lcf76f155ced4ddcb4097134ff3c332f" ma:index="45" nillable="true" ma:taxonomy="true" ma:internalName="lcf76f155ced4ddcb4097134ff3c332f" ma:taxonomyFieldName="MediaServiceImageTags" ma:displayName="Image Tags" ma:readOnly="false" ma:fieldId="{5cf76f15-5ced-4ddc-b409-7134ff3c332f}" ma:taxonomyMulti="true" ma:sspId="4ee84d0e-6e93-49eb-b9f4-5341c9135f0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b62e893-22f0-4291-b835-e3dda2a89aab" elementFormDefault="qualified">
    <xsd:import namespace="http://schemas.microsoft.com/office/2006/documentManagement/types"/>
    <xsd:import namespace="http://schemas.microsoft.com/office/infopath/2007/PartnerControls"/>
    <xsd:element name="Original_x0020_Created" ma:index="3" nillable="true" ma:displayName="Original Created" ma:format="DateTime" ma:hidden="true" ma:internalName="Original_x0020_Created" ma:readOnly="false">
      <xsd:simpleType>
        <xsd:restriction base="dms:DateTime"/>
      </xsd:simpleType>
    </xsd:element>
    <xsd:element name="Original_x0020_Modified" ma:index="4" nillable="true" ma:displayName="Original Modified" ma:format="DateTime" ma:hidden="true" ma:internalName="Original_x0020_Modified" ma:readOnly="false">
      <xsd:simpleType>
        <xsd:restriction base="dms:DateTime"/>
      </xsd:simpleType>
    </xsd:element>
    <xsd:element name="Attach_x0020_Count" ma:index="5" nillable="true" ma:displayName="Attach Count" ma:hidden="true" ma:internalName="Attach_x0020_Count" ma:readOnly="false">
      <xsd:simpleType>
        <xsd:restriction base="dms:Text">
          <xsd:maxLength value="255"/>
        </xsd:restriction>
      </xsd:simpleType>
    </xsd:element>
    <xsd:element name="Original_x0020_Author" ma:index="6" nillable="true" ma:displayName="Original Author" ma:hidden="true" ma:internalName="Original_x0020_Author" ma:readOnly="false">
      <xsd:simpleType>
        <xsd:restriction base="dms:Text">
          <xsd:maxLength value="255"/>
        </xsd:restriction>
      </xsd:simpleType>
    </xsd:element>
    <xsd:element name="Importance" ma:index="7" nillable="true" ma:displayName="Importance" ma:hidden="true" ma:internalName="Importance" ma:readOnly="false">
      <xsd:simpleType>
        <xsd:restriction base="dms:Text">
          <xsd:maxLength value="255"/>
        </xsd:restriction>
      </xsd:simpleType>
    </xsd:element>
    <xsd:element name="Message_x0020_ID" ma:index="8" nillable="true" ma:displayName="Message ID" ma:hidden="true" ma:internalName="Message_x0020_ID" ma:readOnly="false">
      <xsd:simpleType>
        <xsd:restriction base="dms:Text">
          <xsd:maxLength value="255"/>
        </xsd:restriction>
      </xsd:simpleType>
    </xsd:element>
    <xsd:element name="BCC" ma:index="10" nillable="true" ma:displayName="BCC" ma:hidden="true" ma:internalName="BCC" ma:readOnly="false">
      <xsd:simpleType>
        <xsd:restriction base="dms:Text">
          <xsd:maxLength value="255"/>
        </xsd:restriction>
      </xsd:simpleType>
    </xsd:element>
    <xsd:element name="CC" ma:index="11" nillable="true" ma:displayName="CC" ma:hidden="true" ma:internalName="CC" ma:readOnly="false">
      <xsd:simpleType>
        <xsd:restriction base="dms:Text">
          <xsd:maxLength value="255"/>
        </xsd:restriction>
      </xsd:simpleType>
    </xsd:element>
    <xsd:element name="Original_x0020_Producer" ma:index="12" nillable="true" ma:displayName="Original Producer" ma:hidden="true" ma:internalName="Original_x0020_Producer" ma:readOnly="false">
      <xsd:simpleType>
        <xsd:restriction base="dms:Text">
          <xsd:maxLength value="255"/>
        </xsd:restriction>
      </xsd:simpleType>
    </xsd:element>
    <xsd:element name="Received_x0020_Time" ma:index="13" nillable="true" ma:displayName="Received Time" ma:format="DateTime" ma:hidden="true" ma:internalName="Received_x0020_Time" ma:readOnly="false">
      <xsd:simpleType>
        <xsd:restriction base="dms:DateTime"/>
      </xsd:simpleType>
    </xsd:element>
    <xsd:element name="Sensitivity" ma:index="14" nillable="true" ma:displayName="Sensitivity" ma:hidden="true" ma:internalName="Sensitivity" ma:readOnly="false">
      <xsd:simpleType>
        <xsd:restriction base="dms:Text">
          <xsd:maxLength value="255"/>
        </xsd:restriction>
      </xsd:simpleType>
    </xsd:element>
    <xsd:element name="Sent_x0020_On" ma:index="15" nillable="true" ma:displayName="Sent On" ma:format="DateTime" ma:hidden="true" ma:internalName="Sent_x0020_On" ma:readOnly="false">
      <xsd:simpleType>
        <xsd:restriction base="dms:DateTime"/>
      </xsd:simpleType>
    </xsd:element>
    <xsd:element name="To" ma:index="16" nillable="true" ma:displayName="To" ma:hidden="true" ma:internalName="To" ma:readOnly="false">
      <xsd:simpleType>
        <xsd:restriction base="dms:Text">
          <xsd:maxLength value="255"/>
        </xsd:restriction>
      </xsd:simpleType>
    </xsd:element>
    <xsd:element name="Conversation_x0020_Topic" ma:index="33" nillable="true" ma:displayName="Conversation Topic" ma:hidden="true" ma:internalName="Conversation_x0020_Topic" ma:readOnly="false">
      <xsd:simpleType>
        <xsd:restriction base="dms:Text">
          <xsd:maxLength value="255"/>
        </xsd:restriction>
      </xsd:simpleType>
    </xsd:element>
    <xsd:element name="From1" ma:index="34" nillable="true" ma:displayName="From" ma:hidden="true" ma:internalName="From1"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6d9aec-898d-46cb-bf31-c4360018fedc" elementFormDefault="qualified">
    <xsd:import namespace="http://schemas.microsoft.com/office/2006/documentManagement/types"/>
    <xsd:import namespace="http://schemas.microsoft.com/office/infopath/2007/PartnerControls"/>
    <xsd:element name="_dlc_DocId" ma:index="19" nillable="true" ma:displayName="Document ID Value" ma:description="The value of the document ID assigned to this item." ma:hidden="true" ma:indexed="true"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false">
      <xsd:simpleType>
        <xsd:restriction base="dms:Boolean"/>
      </xsd:simpleType>
    </xsd:element>
    <xsd:element name="SharedWithUsers" ma:index="2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hidden="true" ma:internalName="SharedWithDetails" ma:readOnly="true">
      <xsd:simpleType>
        <xsd:restriction base="dms:Note"/>
      </xsd:simpleType>
    </xsd:element>
    <xsd:element name="TaxCatchAll" ma:index="46" nillable="true" ma:displayName="Taxonomy Catch All Column" ma:hidden="true" ma:list="{167c0925-cfb0-47f9-8dd9-fed8b076f1bc}" ma:internalName="TaxCatchAll" ma:showField="CatchAllData" ma:web="406d9aec-898d-46cb-bf31-c4360018fed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5" nillable="true" ma:displayName="IconOverlay" ma:hidden="true" ma:internalName="IconOverlay"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scription0 xmlns="812f1821-9b08-4c39-99da-29d577233d6f" xsi:nil="true"/>
    <Original_x0020_Created xmlns="4b62e893-22f0-4291-b835-e3dda2a89aab" xsi:nil="true"/>
    <Sent_x0020_On xmlns="4b62e893-22f0-4291-b835-e3dda2a89aab" xsi:nil="true"/>
    <Original_x0020_Author xmlns="4b62e893-22f0-4291-b835-e3dda2a89aab" xsi:nil="true"/>
    <Attach_x0020_Count xmlns="4b62e893-22f0-4291-b835-e3dda2a89aab" xsi:nil="true"/>
    <BCC xmlns="4b62e893-22f0-4291-b835-e3dda2a89aab" xsi:nil="true"/>
    <Sensitivity xmlns="4b62e893-22f0-4291-b835-e3dda2a89aab" xsi:nil="true"/>
    <IconOverlay xmlns="http://schemas.microsoft.com/sharepoint/v4" xsi:nil="true"/>
    <To xmlns="4b62e893-22f0-4291-b835-e3dda2a89aab" xsi:nil="true"/>
    <Conversation_x0020_Topic xmlns="4b62e893-22f0-4291-b835-e3dda2a89aab" xsi:nil="true"/>
    <Original_x0020_Modified xmlns="4b62e893-22f0-4291-b835-e3dda2a89aab" xsi:nil="true"/>
    <CC xmlns="4b62e893-22f0-4291-b835-e3dda2a89aab" xsi:nil="true"/>
    <Importance xmlns="4b62e893-22f0-4291-b835-e3dda2a89aab" xsi:nil="true"/>
    <_dlc_DocIdPersistId xmlns="406d9aec-898d-46cb-bf31-c4360018fedc" xsi:nil="true"/>
    <Original_x0020_Producer xmlns="4b62e893-22f0-4291-b835-e3dda2a89aab" xsi:nil="true"/>
    <Notes xmlns="812f1821-9b08-4c39-99da-29d577233d6f" xsi:nil="true"/>
    <Message_x0020_ID xmlns="4b62e893-22f0-4291-b835-e3dda2a89aab" xsi:nil="true"/>
    <Received_x0020_Time xmlns="4b62e893-22f0-4291-b835-e3dda2a89aab" xsi:nil="true"/>
    <_dlc_DocIdUrl xmlns="406d9aec-898d-46cb-bf31-c4360018fedc">
      <Url>https://mlaus.sharepoint.com/sites/CRM/_layouts/15/DocIdRedir.aspx?ID=PCFZEUR3HMRA-582714330-441012</Url>
      <Description>PCFZEUR3HMRA-582714330-441012</Description>
    </_dlc_DocIdUrl>
    <_dlc_DocId xmlns="406d9aec-898d-46cb-bf31-c4360018fedc">PCFZEUR3HMRA-582714330-441012</_dlc_DocId>
    <From1 xmlns="4b62e893-22f0-4291-b835-e3dda2a89aab" xsi:nil="true"/>
    <TaxCatchAll xmlns="406d9aec-898d-46cb-bf31-c4360018fedc" xsi:nil="true"/>
    <lcf76f155ced4ddcb4097134ff3c332f xmlns="812f1821-9b08-4c39-99da-29d577233d6f">
      <Terms xmlns="http://schemas.microsoft.com/office/infopath/2007/PartnerControls"/>
    </lcf76f155ced4ddcb4097134ff3c332f>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9D7FBDE-C1AA-40FB-91F4-4C16251654F1}">
  <ds:schemaRefs>
    <ds:schemaRef ds:uri="http://schemas.microsoft.com/sharepoint/v3/contenttype/forms"/>
  </ds:schemaRefs>
</ds:datastoreItem>
</file>

<file path=customXml/itemProps2.xml><?xml version="1.0" encoding="utf-8"?>
<ds:datastoreItem xmlns:ds="http://schemas.openxmlformats.org/officeDocument/2006/customXml" ds:itemID="{BF33317E-6158-4066-A259-B953D89CA359}"/>
</file>

<file path=customXml/itemProps3.xml><?xml version="1.0" encoding="utf-8"?>
<ds:datastoreItem xmlns:ds="http://schemas.openxmlformats.org/officeDocument/2006/customXml" ds:itemID="{485680D4-5C4B-4EB9-856A-A61B504E13E0}">
  <ds:schemaRefs>
    <ds:schemaRef ds:uri="http://schemas.microsoft.com/sharepoint/v3"/>
    <ds:schemaRef ds:uri="406d9aec-898d-46cb-bf31-c4360018fedc"/>
    <ds:schemaRef ds:uri="http://purl.org/dc/terms/"/>
    <ds:schemaRef ds:uri="http://schemas.microsoft.com/office/2006/documentManagement/types"/>
    <ds:schemaRef ds:uri="http://schemas.microsoft.com/office/infopath/2007/PartnerControls"/>
    <ds:schemaRef ds:uri="http://purl.org/dc/dcmitype/"/>
    <ds:schemaRef ds:uri="812f1821-9b08-4c39-99da-29d577233d6f"/>
    <ds:schemaRef ds:uri="4b62e893-22f0-4291-b835-e3dda2a89aab"/>
    <ds:schemaRef ds:uri="http://purl.org/dc/elements/1.1/"/>
    <ds:schemaRef ds:uri="http://schemas.microsoft.com/office/2006/metadata/properties"/>
    <ds:schemaRef ds:uri="http://schemas.openxmlformats.org/package/2006/metadata/core-properties"/>
    <ds:schemaRef ds:uri="http://schemas.microsoft.com/sharepoint/v4"/>
    <ds:schemaRef ds:uri="http://www.w3.org/XML/1998/namespace"/>
  </ds:schemaRefs>
</ds:datastoreItem>
</file>

<file path=customXml/itemProps4.xml><?xml version="1.0" encoding="utf-8"?>
<ds:datastoreItem xmlns:ds="http://schemas.openxmlformats.org/officeDocument/2006/customXml" ds:itemID="{93843114-F0A0-4EBD-B8E5-D13C1F6BC595}">
  <ds:schemaRefs>
    <ds:schemaRef ds:uri="http://schemas.microsoft.com/sharepoint/events"/>
  </ds:schemaRefs>
</ds:datastoreItem>
</file>

<file path=customXml/itemProps5.xml><?xml version="1.0" encoding="utf-8"?>
<ds:datastoreItem xmlns:ds="http://schemas.openxmlformats.org/officeDocument/2006/customXml" ds:itemID="{2468C51A-7589-4241-817B-3181F6A5F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55</Pages>
  <Words>17027</Words>
  <Characters>97054</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
    </vt:vector>
  </TitlesOfParts>
  <Company>Meat and Livestock Australia</Company>
  <LinksUpToDate>false</LinksUpToDate>
  <CharactersWithSpaces>113854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Bridie Schultz</dc:creator>
  <cp:keywords/>
  <dc:description/>
  <cp:lastModifiedBy>Kayleen Campbell</cp:lastModifiedBy>
  <cp:revision>33</cp:revision>
  <cp:lastPrinted>2019-04-26T04:06:00Z</cp:lastPrinted>
  <dcterms:created xsi:type="dcterms:W3CDTF">2021-11-08T07:09:00Z</dcterms:created>
  <dcterms:modified xsi:type="dcterms:W3CDTF">2021-11-22T07:31:00Z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0x010100771DBBAAFF8F234786F3FE35C2C55285</vt:lpwstr>
  </property>
  <property fmtid="{D5CDD505-2E9C-101B-9397-08002B2CF9AE}" pid="3" name="_dlc_DocIdItemGuid">
    <vt:lpwstr>5e970ff7-c943-4c90-86c2-8bf3d7e85f14</vt:lpwstr>
  </property>
</Properties>
</file>