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F02A97" w:rsidP="00F02A97" w14:paraId="4A7FC436" w14:textId="7E17B7D2">
      <w:pPr>
        <w:pStyle w:val="Heading1"/>
        <w:jc w:val="center"/>
        <w:rPr>
          <w:rFonts w:asciiTheme="minorHAnsi" w:hAnsiTheme="minorHAnsi" w:cstheme="minorHAnsi"/>
          <w:b/>
          <w:szCs w:val="36"/>
        </w:rPr>
      </w:pPr>
      <w:bookmarkStart w:id="0" w:name="_Hlk80887224"/>
      <w:r>
        <w:rPr>
          <w:rFonts w:asciiTheme="minorHAnsi" w:hAnsiTheme="minorHAnsi" w:cstheme="minorHAnsi"/>
          <w:b/>
          <w:szCs w:val="36"/>
        </w:rPr>
        <w:t>Quantifying and improving goat reproductive performance and r</w:t>
      </w:r>
      <w:r w:rsidR="007E0086">
        <w:rPr>
          <w:rFonts w:asciiTheme="minorHAnsi" w:hAnsiTheme="minorHAnsi" w:cstheme="minorHAnsi"/>
          <w:b/>
          <w:szCs w:val="36"/>
        </w:rPr>
        <w:t xml:space="preserve">educing </w:t>
      </w:r>
      <w:r>
        <w:rPr>
          <w:rFonts w:asciiTheme="minorHAnsi" w:hAnsiTheme="minorHAnsi" w:cstheme="minorHAnsi"/>
          <w:b/>
          <w:szCs w:val="36"/>
        </w:rPr>
        <w:t>k</w:t>
      </w:r>
      <w:r w:rsidR="007E0086">
        <w:rPr>
          <w:rFonts w:asciiTheme="minorHAnsi" w:hAnsiTheme="minorHAnsi" w:cstheme="minorHAnsi"/>
          <w:b/>
          <w:szCs w:val="36"/>
        </w:rPr>
        <w:t xml:space="preserve">id </w:t>
      </w:r>
      <w:r>
        <w:rPr>
          <w:rFonts w:asciiTheme="minorHAnsi" w:hAnsiTheme="minorHAnsi" w:cstheme="minorHAnsi"/>
          <w:b/>
          <w:szCs w:val="36"/>
        </w:rPr>
        <w:t>loss in Australian g</w:t>
      </w:r>
      <w:r w:rsidR="007E0086">
        <w:rPr>
          <w:rFonts w:asciiTheme="minorHAnsi" w:hAnsiTheme="minorHAnsi" w:cstheme="minorHAnsi"/>
          <w:b/>
          <w:szCs w:val="36"/>
        </w:rPr>
        <w:t xml:space="preserve">oat </w:t>
      </w:r>
      <w:r>
        <w:rPr>
          <w:rFonts w:asciiTheme="minorHAnsi" w:hAnsiTheme="minorHAnsi" w:cstheme="minorHAnsi"/>
          <w:b/>
          <w:szCs w:val="36"/>
        </w:rPr>
        <w:t>h</w:t>
      </w:r>
      <w:r w:rsidR="007E0086">
        <w:rPr>
          <w:rFonts w:asciiTheme="minorHAnsi" w:hAnsiTheme="minorHAnsi" w:cstheme="minorHAnsi"/>
          <w:b/>
          <w:szCs w:val="36"/>
        </w:rPr>
        <w:t>erds</w:t>
      </w:r>
      <w:r w:rsidR="00AF1201">
        <w:rPr>
          <w:rFonts w:asciiTheme="minorHAnsi" w:hAnsiTheme="minorHAnsi" w:cstheme="minorHAnsi"/>
          <w:b/>
          <w:szCs w:val="36"/>
        </w:rPr>
        <w:t xml:space="preserve"> </w:t>
      </w:r>
    </w:p>
    <w:bookmarkEnd w:id="0"/>
    <w:p w:rsidR="00BF1DF5" w:rsidRPr="00BF1DF5" w:rsidP="00BF1DF5" w14:paraId="5B4B3256" w14:textId="3B03FE07"/>
    <w:p w:rsidR="00640237" w:rsidRPr="00BF1DF5" w:rsidP="00BF1DF5" w14:paraId="3780F4D4" w14:textId="17F1800D">
      <w:pPr>
        <w:jc w:val="center"/>
      </w:pPr>
      <w:r w:rsidRPr="00BF1DF5">
        <w:t xml:space="preserve">MDC Projects </w:t>
      </w:r>
    </w:p>
    <w:p w:rsidR="00F3349F" w:rsidP="00B44A16" w14:paraId="7DBE6102" w14:textId="64495781">
      <w:pPr>
        <w:jc w:val="both"/>
        <w:rPr>
          <w:rFonts w:asciiTheme="minorHAnsi" w:hAnsiTheme="minorHAnsi"/>
          <w:b/>
          <w:sz w:val="22"/>
          <w:u w:val="single"/>
        </w:rPr>
      </w:pPr>
    </w:p>
    <w:p w:rsidR="00AD6294" w:rsidP="00B44A16" w14:paraId="729147DF" w14:textId="77777777">
      <w:pPr>
        <w:jc w:val="both"/>
        <w:rPr>
          <w:rFonts w:ascii="Calibri" w:hAnsi="Calibri" w:eastAsiaTheme="majorEastAsia" w:cs="Calibri"/>
          <w:b/>
          <w:color w:val="007549"/>
          <w:szCs w:val="24"/>
        </w:rPr>
      </w:pPr>
    </w:p>
    <w:p w:rsidR="00F3349F" w:rsidP="00B44A16" w14:paraId="2CC18085" w14:textId="58B6A97F">
      <w:pPr>
        <w:jc w:val="both"/>
        <w:rPr>
          <w:rFonts w:asciiTheme="minorHAnsi" w:hAnsiTheme="minorHAnsi"/>
          <w:b/>
          <w:sz w:val="22"/>
          <w:u w:val="single"/>
        </w:rPr>
      </w:pPr>
      <w:r w:rsidRPr="00F02A97">
        <w:rPr>
          <w:rFonts w:ascii="Calibri" w:hAnsi="Calibri" w:eastAsiaTheme="majorEastAsia" w:cs="Calibri"/>
          <w:b/>
          <w:color w:val="007549"/>
          <w:szCs w:val="24"/>
        </w:rPr>
        <w:t>Purpose and background</w:t>
      </w:r>
    </w:p>
    <w:p w:rsidR="00941711" w:rsidP="00F02A97" w14:paraId="68ED9482" w14:textId="77777777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B58D5" w:rsidP="00F02A97" w14:paraId="43B93D8A" w14:textId="297CA554">
      <w:pPr>
        <w:spacing w:line="276" w:lineRule="auto"/>
        <w:jc w:val="both"/>
        <w:rPr>
          <w:rFonts w:asciiTheme="minorHAnsi" w:hAnsiTheme="minorHAnsi"/>
          <w:sz w:val="22"/>
        </w:rPr>
      </w:pPr>
      <w:r w:rsidRPr="00941711">
        <w:rPr>
          <w:rFonts w:asciiTheme="minorHAnsi" w:hAnsiTheme="minorHAnsi"/>
          <w:sz w:val="22"/>
        </w:rPr>
        <w:t>Meat &amp; Livestock Australia (MLA) is committed to partnering with</w:t>
      </w:r>
      <w:r>
        <w:rPr>
          <w:rFonts w:asciiTheme="minorHAnsi" w:hAnsiTheme="minorHAnsi"/>
          <w:sz w:val="22"/>
        </w:rPr>
        <w:t xml:space="preserve"> industry partners and producer groups to</w:t>
      </w:r>
      <w:r w:rsidRPr="00941711">
        <w:rPr>
          <w:rFonts w:asciiTheme="minorHAnsi" w:hAnsiTheme="minorHAnsi"/>
          <w:sz w:val="22"/>
        </w:rPr>
        <w:t xml:space="preserve"> improve business profitability and productivity.</w:t>
      </w:r>
      <w:r>
        <w:rPr>
          <w:rFonts w:asciiTheme="minorHAnsi" w:hAnsiTheme="minorHAnsi"/>
          <w:sz w:val="22"/>
        </w:rPr>
        <w:t xml:space="preserve"> </w:t>
      </w:r>
    </w:p>
    <w:p w:rsidR="00FB58D5" w:rsidP="00F02A97" w14:paraId="2DDF5DE9" w14:textId="2DA0AE06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5E4FE9" w:rsidP="00405321" w14:paraId="4BCFF96D" w14:textId="3269AE4C">
      <w:pPr>
        <w:spacing w:line="276" w:lineRule="auto"/>
        <w:jc w:val="both"/>
        <w:rPr>
          <w:rFonts w:asciiTheme="minorHAnsi" w:hAnsiTheme="minorHAnsi"/>
          <w:sz w:val="22"/>
        </w:rPr>
      </w:pPr>
      <w:r w:rsidRPr="005E4FE9">
        <w:rPr>
          <w:rFonts w:asciiTheme="minorHAnsi" w:hAnsiTheme="minorHAnsi"/>
          <w:sz w:val="22"/>
        </w:rPr>
        <w:t>The value of the Australian goatmeat exports has continued to</w:t>
      </w:r>
      <w:r>
        <w:rPr>
          <w:rFonts w:asciiTheme="minorHAnsi" w:hAnsiTheme="minorHAnsi"/>
          <w:sz w:val="22"/>
        </w:rPr>
        <w:t xml:space="preserve"> </w:t>
      </w:r>
      <w:r w:rsidRPr="005E4FE9">
        <w:rPr>
          <w:rFonts w:asciiTheme="minorHAnsi" w:hAnsiTheme="minorHAnsi"/>
          <w:sz w:val="22"/>
        </w:rPr>
        <w:t>demonstrate growth since, with substantial increases in value due to higher in</w:t>
      </w:r>
      <w:r>
        <w:rPr>
          <w:rFonts w:asciiTheme="minorHAnsi" w:hAnsiTheme="minorHAnsi"/>
          <w:sz w:val="22"/>
        </w:rPr>
        <w:t xml:space="preserve"> </w:t>
      </w:r>
      <w:r w:rsidRPr="005E4FE9">
        <w:rPr>
          <w:rFonts w:asciiTheme="minorHAnsi" w:hAnsiTheme="minorHAnsi"/>
          <w:sz w:val="22"/>
        </w:rPr>
        <w:t xml:space="preserve">carcase price and goat slaughter numbers. Goat meat production </w:t>
      </w:r>
      <w:r>
        <w:rPr>
          <w:rFonts w:asciiTheme="minorHAnsi" w:hAnsiTheme="minorHAnsi"/>
          <w:sz w:val="22"/>
        </w:rPr>
        <w:t xml:space="preserve">in Australia has </w:t>
      </w:r>
      <w:r w:rsidRPr="005E4FE9">
        <w:rPr>
          <w:rFonts w:asciiTheme="minorHAnsi" w:hAnsiTheme="minorHAnsi"/>
          <w:sz w:val="22"/>
        </w:rPr>
        <w:t>tripled since 2001 without</w:t>
      </w:r>
      <w:r>
        <w:rPr>
          <w:rFonts w:asciiTheme="minorHAnsi" w:hAnsiTheme="minorHAnsi"/>
          <w:sz w:val="22"/>
        </w:rPr>
        <w:t xml:space="preserve"> </w:t>
      </w:r>
      <w:r w:rsidRPr="005E4FE9">
        <w:rPr>
          <w:rFonts w:asciiTheme="minorHAnsi" w:hAnsiTheme="minorHAnsi"/>
          <w:sz w:val="22"/>
        </w:rPr>
        <w:t>increases in average carcase weight. Hence, surplus goats and price are the main drivers of the</w:t>
      </w:r>
      <w:r>
        <w:rPr>
          <w:rFonts w:asciiTheme="minorHAnsi" w:hAnsiTheme="minorHAnsi"/>
          <w:sz w:val="22"/>
        </w:rPr>
        <w:t xml:space="preserve"> </w:t>
      </w:r>
      <w:r w:rsidRPr="005E4FE9">
        <w:rPr>
          <w:rFonts w:asciiTheme="minorHAnsi" w:hAnsiTheme="minorHAnsi"/>
          <w:sz w:val="22"/>
        </w:rPr>
        <w:t>increased industry value and therefore, reproduction is an important underlying factor limiting</w:t>
      </w:r>
      <w:r>
        <w:rPr>
          <w:rFonts w:asciiTheme="minorHAnsi" w:hAnsiTheme="minorHAnsi"/>
          <w:sz w:val="22"/>
        </w:rPr>
        <w:t xml:space="preserve"> </w:t>
      </w:r>
      <w:r w:rsidRPr="005E4FE9">
        <w:rPr>
          <w:rFonts w:asciiTheme="minorHAnsi" w:hAnsiTheme="minorHAnsi"/>
          <w:sz w:val="22"/>
        </w:rPr>
        <w:t>sustainable supply.</w:t>
      </w:r>
      <w:r>
        <w:rPr>
          <w:rFonts w:asciiTheme="minorHAnsi" w:hAnsiTheme="minorHAnsi"/>
          <w:sz w:val="22"/>
        </w:rPr>
        <w:t xml:space="preserve"> Despite </w:t>
      </w:r>
      <w:r w:rsidR="00FF4878">
        <w:rPr>
          <w:rFonts w:asciiTheme="minorHAnsi" w:hAnsiTheme="minorHAnsi"/>
          <w:sz w:val="22"/>
        </w:rPr>
        <w:t>this,</w:t>
      </w:r>
      <w:r>
        <w:rPr>
          <w:rFonts w:asciiTheme="minorHAnsi" w:hAnsiTheme="minorHAnsi"/>
          <w:sz w:val="22"/>
        </w:rPr>
        <w:t xml:space="preserve"> there is limited data on reproductive performance for commercial goat herds. </w:t>
      </w:r>
      <w:r w:rsidR="00FF4878">
        <w:rPr>
          <w:rFonts w:asciiTheme="minorHAnsi" w:hAnsiTheme="minorHAnsi"/>
          <w:sz w:val="22"/>
        </w:rPr>
        <w:t xml:space="preserve">To address this, </w:t>
      </w:r>
      <w:r w:rsidRPr="00FB58D5" w:rsidR="00FB58D5">
        <w:rPr>
          <w:rFonts w:asciiTheme="minorHAnsi" w:hAnsiTheme="minorHAnsi"/>
          <w:sz w:val="22"/>
        </w:rPr>
        <w:t xml:space="preserve">MLA is calling for applications for MDC projects related to improving goat enterprise profitability and productivity through </w:t>
      </w:r>
      <w:r w:rsidR="00FF4878">
        <w:rPr>
          <w:rFonts w:asciiTheme="minorHAnsi" w:hAnsiTheme="minorHAnsi"/>
          <w:sz w:val="22"/>
        </w:rPr>
        <w:t xml:space="preserve">quantifying and </w:t>
      </w:r>
      <w:r>
        <w:rPr>
          <w:rFonts w:asciiTheme="minorHAnsi" w:hAnsiTheme="minorHAnsi"/>
          <w:sz w:val="22"/>
        </w:rPr>
        <w:t xml:space="preserve">improving goat reproductive performance and increasing kid turn-off </w:t>
      </w:r>
      <w:r w:rsidR="00FF4878">
        <w:rPr>
          <w:rFonts w:asciiTheme="minorHAnsi" w:hAnsiTheme="minorHAnsi"/>
          <w:sz w:val="22"/>
        </w:rPr>
        <w:t>percentages</w:t>
      </w:r>
      <w:r>
        <w:rPr>
          <w:rFonts w:asciiTheme="minorHAnsi" w:hAnsiTheme="minorHAnsi"/>
          <w:sz w:val="22"/>
        </w:rPr>
        <w:t xml:space="preserve">.  </w:t>
      </w:r>
    </w:p>
    <w:p w:rsidR="005E4FE9" w:rsidP="00405321" w14:paraId="22D3E2B9" w14:textId="03A9C8AA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941711" w:rsidP="00F02A97" w14:paraId="318D7449" w14:textId="63A89B6E">
      <w:pPr>
        <w:spacing w:line="276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Projects may be conducted </w:t>
      </w:r>
      <w:r w:rsidR="00BF1DF5">
        <w:rPr>
          <w:rFonts w:asciiTheme="minorHAnsi" w:hAnsiTheme="minorHAnsi"/>
          <w:sz w:val="22"/>
        </w:rPr>
        <w:t xml:space="preserve">in a range of situations </w:t>
      </w:r>
      <w:r w:rsidRPr="00BF1DF5" w:rsidR="00BF1DF5">
        <w:rPr>
          <w:rFonts w:asciiTheme="minorHAnsi" w:hAnsiTheme="minorHAnsi"/>
          <w:sz w:val="22"/>
        </w:rPr>
        <w:t xml:space="preserve">including, </w:t>
      </w:r>
      <w:r w:rsidRPr="00BF1DF5">
        <w:rPr>
          <w:rFonts w:asciiTheme="minorHAnsi" w:hAnsiTheme="minorHAnsi"/>
          <w:sz w:val="22"/>
        </w:rPr>
        <w:t>on research stations</w:t>
      </w:r>
      <w:r w:rsidRPr="00BF1DF5" w:rsidR="00BF1DF5">
        <w:rPr>
          <w:rFonts w:asciiTheme="minorHAnsi" w:hAnsiTheme="minorHAnsi"/>
          <w:sz w:val="22"/>
        </w:rPr>
        <w:t xml:space="preserve"> or</w:t>
      </w:r>
      <w:r w:rsidRPr="00BF1DF5">
        <w:rPr>
          <w:rFonts w:asciiTheme="minorHAnsi" w:hAnsiTheme="minorHAnsi"/>
          <w:sz w:val="22"/>
        </w:rPr>
        <w:t xml:space="preserve"> on commercial properties</w:t>
      </w:r>
      <w:r w:rsidRPr="00BF1DF5" w:rsidR="00BF1DF5">
        <w:rPr>
          <w:rFonts w:asciiTheme="minorHAnsi" w:hAnsiTheme="minorHAnsi"/>
          <w:sz w:val="22"/>
        </w:rPr>
        <w:t xml:space="preserve"> </w:t>
      </w:r>
      <w:r w:rsidRPr="00BF1DF5" w:rsidR="000F1779">
        <w:rPr>
          <w:rFonts w:asciiTheme="minorHAnsi" w:hAnsiTheme="minorHAnsi"/>
          <w:sz w:val="22"/>
        </w:rPr>
        <w:t xml:space="preserve">and may deploy existing tools, technologies and management </w:t>
      </w:r>
      <w:r w:rsidR="000F1779">
        <w:rPr>
          <w:rFonts w:asciiTheme="minorHAnsi" w:hAnsiTheme="minorHAnsi"/>
          <w:sz w:val="22"/>
        </w:rPr>
        <w:t xml:space="preserve">practices or develop </w:t>
      </w:r>
      <w:r w:rsidRPr="00BF1DF5" w:rsidR="00A064BD">
        <w:rPr>
          <w:rFonts w:asciiTheme="minorHAnsi" w:hAnsiTheme="minorHAnsi"/>
          <w:sz w:val="22"/>
        </w:rPr>
        <w:t xml:space="preserve">a </w:t>
      </w:r>
      <w:r w:rsidRPr="00BF1DF5" w:rsidR="000F1779">
        <w:rPr>
          <w:rFonts w:asciiTheme="minorHAnsi" w:hAnsiTheme="minorHAnsi"/>
          <w:sz w:val="22"/>
        </w:rPr>
        <w:t xml:space="preserve">new </w:t>
      </w:r>
      <w:r w:rsidR="000F1779">
        <w:rPr>
          <w:rFonts w:asciiTheme="minorHAnsi" w:hAnsiTheme="minorHAnsi"/>
          <w:sz w:val="22"/>
        </w:rPr>
        <w:t>approach to supporting</w:t>
      </w:r>
      <w:r w:rsidR="00846FE8">
        <w:rPr>
          <w:rFonts w:asciiTheme="minorHAnsi" w:hAnsiTheme="minorHAnsi"/>
          <w:sz w:val="22"/>
        </w:rPr>
        <w:t xml:space="preserve"> </w:t>
      </w:r>
      <w:r w:rsidR="00FC7201">
        <w:rPr>
          <w:rFonts w:asciiTheme="minorHAnsi" w:hAnsiTheme="minorHAnsi"/>
          <w:sz w:val="22"/>
        </w:rPr>
        <w:t xml:space="preserve">improved reproductive performance and </w:t>
      </w:r>
      <w:r w:rsidR="00874D52">
        <w:rPr>
          <w:rFonts w:asciiTheme="minorHAnsi" w:hAnsiTheme="minorHAnsi"/>
          <w:sz w:val="22"/>
        </w:rPr>
        <w:t>reduc</w:t>
      </w:r>
      <w:r w:rsidR="00FC7201">
        <w:rPr>
          <w:rFonts w:asciiTheme="minorHAnsi" w:hAnsiTheme="minorHAnsi"/>
          <w:sz w:val="22"/>
        </w:rPr>
        <w:t>ed</w:t>
      </w:r>
      <w:r w:rsidR="00874D52">
        <w:rPr>
          <w:rFonts w:asciiTheme="minorHAnsi" w:hAnsiTheme="minorHAnsi"/>
          <w:sz w:val="22"/>
        </w:rPr>
        <w:t xml:space="preserve"> kid loss</w:t>
      </w:r>
      <w:r>
        <w:rPr>
          <w:rFonts w:asciiTheme="minorHAnsi" w:hAnsiTheme="minorHAnsi"/>
          <w:sz w:val="22"/>
        </w:rPr>
        <w:t xml:space="preserve">. </w:t>
      </w:r>
      <w:r w:rsidR="000F1779">
        <w:rPr>
          <w:rFonts w:asciiTheme="minorHAnsi" w:hAnsiTheme="minorHAnsi"/>
          <w:sz w:val="22"/>
        </w:rPr>
        <w:t>Demonstration of production and economic benefits</w:t>
      </w:r>
      <w:r w:rsidR="00567B31">
        <w:rPr>
          <w:rFonts w:asciiTheme="minorHAnsi" w:hAnsiTheme="minorHAnsi"/>
          <w:sz w:val="22"/>
        </w:rPr>
        <w:t xml:space="preserve">, within the local environment </w:t>
      </w:r>
      <w:r w:rsidR="000F1779">
        <w:rPr>
          <w:rFonts w:asciiTheme="minorHAnsi" w:hAnsiTheme="minorHAnsi"/>
          <w:sz w:val="22"/>
        </w:rPr>
        <w:t xml:space="preserve">is the desired outcome. </w:t>
      </w:r>
    </w:p>
    <w:p w:rsidR="00FB58D5" w:rsidP="00F02A97" w14:paraId="39289491" w14:textId="6D4059A1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BF1DF5" w:rsidRPr="00381071" w:rsidP="00BF1DF5" w14:paraId="04FC9D5D" w14:textId="77777777">
      <w:pPr>
        <w:jc w:val="both"/>
        <w:rPr>
          <w:rFonts w:asciiTheme="minorHAnsi" w:hAnsiTheme="minorHAnsi"/>
          <w:b/>
          <w:sz w:val="22"/>
        </w:rPr>
      </w:pPr>
      <w:r w:rsidRPr="00381071">
        <w:rPr>
          <w:rFonts w:asciiTheme="minorHAnsi" w:hAnsiTheme="minorHAnsi"/>
          <w:b/>
          <w:sz w:val="22"/>
        </w:rPr>
        <w:t>Priority areas:</w:t>
      </w:r>
    </w:p>
    <w:p w:rsidR="00BF1DF5" w:rsidRPr="00FC7201" w:rsidP="00BF1DF5" w14:paraId="6A2DB51A" w14:textId="77777777">
      <w:pPr>
        <w:jc w:val="both"/>
        <w:rPr>
          <w:rFonts w:asciiTheme="minorHAnsi" w:hAnsiTheme="minorHAnsi"/>
          <w:sz w:val="22"/>
        </w:rPr>
      </w:pPr>
      <w:r w:rsidRPr="00FC7201">
        <w:rPr>
          <w:rFonts w:asciiTheme="minorHAnsi" w:hAnsiTheme="minorHAnsi"/>
          <w:sz w:val="22"/>
        </w:rPr>
        <w:t xml:space="preserve">Applicants should address one or more of the following priority areas. </w:t>
      </w:r>
    </w:p>
    <w:p w:rsidR="00BF1DF5" w:rsidP="00BF1DF5" w14:paraId="768988C0" w14:textId="77777777">
      <w:pPr>
        <w:jc w:val="both"/>
        <w:rPr>
          <w:rFonts w:asciiTheme="minorHAnsi" w:hAnsiTheme="minorHAnsi"/>
        </w:rPr>
      </w:pPr>
    </w:p>
    <w:tbl>
      <w:tblPr>
        <w:tblW w:w="9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5"/>
        <w:gridCol w:w="7150"/>
      </w:tblGrid>
      <w:tr w14:paraId="2FF30BCF" w14:textId="77777777" w:rsidTr="00005881">
        <w:tblPrEx>
          <w:tblW w:w="913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BF1DF5" w:rsidRPr="007129FA" w:rsidP="00005881" w14:paraId="15501395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AU" w:eastAsia="en-AU" w:bidi="ar-SA"/>
              </w:rPr>
            </w:pPr>
            <w:r w:rsidRPr="00712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AU" w:eastAsia="en-AU" w:bidi="ar-SA"/>
              </w:rPr>
              <w:t xml:space="preserve">Category </w:t>
            </w:r>
          </w:p>
        </w:tc>
        <w:tc>
          <w:tcPr>
            <w:tcW w:w="7150" w:type="dxa"/>
            <w:shd w:val="clear" w:color="auto" w:fill="auto"/>
            <w:noWrap/>
            <w:hideMark/>
          </w:tcPr>
          <w:p w:rsidR="00BF1DF5" w:rsidRPr="007129FA" w:rsidP="00005881" w14:paraId="3C0BE8E9" w14:textId="777777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AU" w:eastAsia="en-AU" w:bidi="ar-SA"/>
              </w:rPr>
            </w:pPr>
            <w:r w:rsidRPr="007129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AU" w:eastAsia="en-AU" w:bidi="ar-SA"/>
              </w:rPr>
              <w:t xml:space="preserve">Priority </w:t>
            </w:r>
          </w:p>
        </w:tc>
      </w:tr>
      <w:tr w14:paraId="52A477D5" w14:textId="77777777" w:rsidTr="00405321">
        <w:tblPrEx>
          <w:tblW w:w="913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1985" w:type="dxa"/>
            <w:shd w:val="clear" w:color="auto" w:fill="auto"/>
            <w:noWrap/>
          </w:tcPr>
          <w:p w:rsidR="00FF4878" w:rsidP="00005881" w14:paraId="00D0267F" w14:textId="33F73E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Benchmarking reproductive performance </w:t>
            </w:r>
          </w:p>
        </w:tc>
        <w:tc>
          <w:tcPr>
            <w:tcW w:w="7150" w:type="dxa"/>
            <w:shd w:val="clear" w:color="auto" w:fill="auto"/>
          </w:tcPr>
          <w:p w:rsidR="00FF4878" w:rsidP="00FF4878" w14:paraId="0ED0A273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 w:rsidRPr="00FF4878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val="en-AU" w:eastAsia="en-AU" w:bidi="ar-SA"/>
              </w:rPr>
              <w:t>Quantification of goat reproductive performance and kid loss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. </w:t>
            </w:r>
          </w:p>
          <w:p w:rsidR="00FF4878" w:rsidP="00FF4878" w14:paraId="48F37B72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FF4878" w:rsidP="00FF4878" w14:paraId="3657099C" w14:textId="7D212C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Applications against this terms of reference should collect data on key </w:t>
            </w:r>
            <w:r w:rsidR="00CC42DA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reproductive performance metrics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which may include</w:t>
            </w:r>
            <w:r w:rsidR="000B1652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but need not be limited to</w:t>
            </w:r>
            <w:r w:rsidR="000B1652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the following: </w:t>
            </w:r>
          </w:p>
          <w:p w:rsidR="00FF4878" w:rsidP="00FF4878" w14:paraId="796DC6F1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FF4878" w:rsidP="00FF4878" w14:paraId="69B804F2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Doe conception rates </w:t>
            </w:r>
          </w:p>
          <w:p w:rsidR="00FF4878" w:rsidP="00FF4878" w14:paraId="681062E1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Foetuses conceived per doe (pregnancy scanning)</w:t>
            </w:r>
          </w:p>
          <w:p w:rsidR="00FF4878" w:rsidRPr="00FF4878" w:rsidP="00FF4878" w14:paraId="17CDDAE9" w14:textId="669571B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Kid survival </w:t>
            </w:r>
          </w:p>
          <w:p w:rsidR="00FF4878" w:rsidP="00FF4878" w14:paraId="7C75428E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Doe survival </w:t>
            </w:r>
          </w:p>
          <w:p w:rsidR="00FF4878" w:rsidP="00FF4878" w14:paraId="5AF2F9BA" w14:textId="7777777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72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Maiden doe and kid survival </w:t>
            </w:r>
          </w:p>
          <w:p w:rsidR="00FF4878" w:rsidP="00FF4878" w14:paraId="19090083" w14:textId="77777777">
            <w:pPr>
              <w:pStyle w:val="ListParagraph"/>
              <w:spacing w:after="0" w:line="240" w:lineRule="auto"/>
              <w:ind w:left="72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FF4878" w:rsidRPr="00FF4878" w:rsidP="00FF4878" w14:paraId="4C617A7A" w14:textId="54D5D2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Applications that collect data over multiple years will be favourably assessed. </w:t>
            </w:r>
          </w:p>
        </w:tc>
      </w:tr>
      <w:tr w14:paraId="4242B3A6" w14:textId="77777777" w:rsidTr="00405321">
        <w:tblPrEx>
          <w:tblW w:w="913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795"/>
        </w:trPr>
        <w:tc>
          <w:tcPr>
            <w:tcW w:w="1985" w:type="dxa"/>
            <w:vMerge w:val="restart"/>
            <w:shd w:val="clear" w:color="auto" w:fill="auto"/>
            <w:noWrap/>
            <w:hideMark/>
          </w:tcPr>
          <w:p w:rsidR="00BF1DF5" w:rsidRPr="000808EE" w:rsidP="00005881" w14:paraId="1A18E3E3" w14:textId="33DBDC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Kid loss reduction strategies</w:t>
            </w:r>
          </w:p>
          <w:p w:rsidR="00BF1DF5" w:rsidRPr="000808EE" w:rsidP="00005881" w14:paraId="47EB2D38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BF1DF5" w:rsidRPr="000808EE" w:rsidP="00005881" w14:paraId="24328833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 w:rsidRPr="000808EE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</w:t>
            </w:r>
          </w:p>
          <w:p w:rsidR="00BF1DF5" w:rsidRPr="000808EE" w:rsidP="00005881" w14:paraId="419FD19D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</w:tc>
        <w:tc>
          <w:tcPr>
            <w:tcW w:w="7150" w:type="dxa"/>
            <w:shd w:val="clear" w:color="auto" w:fill="auto"/>
            <w:hideMark/>
          </w:tcPr>
          <w:p w:rsidR="00BF1DF5" w:rsidRPr="000808EE" w:rsidP="00FF4878" w14:paraId="24A753B3" w14:textId="006BA8B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 w:rsidRPr="00EF483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Demonstration of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the </w:t>
            </w:r>
            <w:r w:rsidRPr="00EF483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farm</w:t>
            </w:r>
            <w:r w:rsidR="0040532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productivity</w:t>
            </w:r>
            <w:r w:rsidRPr="00EF483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and </w:t>
            </w:r>
            <w:r w:rsidR="005C7C83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kid loss</w:t>
            </w:r>
            <w:r w:rsidRPr="00EF483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benefits of </w:t>
            </w:r>
            <w:r w:rsidR="00ED1412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val="en-AU" w:eastAsia="en-AU" w:bidi="ar-SA"/>
              </w:rPr>
              <w:t>pregnancy scanning</w:t>
            </w:r>
            <w:r w:rsidR="005C7C83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val="en-AU" w:eastAsia="en-AU" w:bidi="ar-SA"/>
              </w:rPr>
              <w:t xml:space="preserve"> and managing for </w:t>
            </w:r>
            <w:r w:rsidR="00FF4878">
              <w:rPr>
                <w:rFonts w:ascii="Calibri" w:eastAsia="Times New Roman" w:hAnsi="Calibri" w:cs="Calibri"/>
                <w:b/>
                <w:color w:val="000000"/>
                <w:sz w:val="22"/>
                <w:szCs w:val="20"/>
                <w:lang w:val="en-AU" w:eastAsia="en-AU" w:bidi="ar-SA"/>
              </w:rPr>
              <w:t>litter size</w:t>
            </w:r>
            <w:r w:rsidRPr="00EF4831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. </w:t>
            </w:r>
          </w:p>
        </w:tc>
      </w:tr>
      <w:tr w14:paraId="34B7D846" w14:textId="77777777" w:rsidTr="00005881">
        <w:tblPrEx>
          <w:tblW w:w="913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6"/>
        </w:trPr>
        <w:tc>
          <w:tcPr>
            <w:tcW w:w="1985" w:type="dxa"/>
            <w:vMerge/>
            <w:shd w:val="clear" w:color="auto" w:fill="auto"/>
            <w:noWrap/>
          </w:tcPr>
          <w:p w:rsidR="00BF1DF5" w:rsidRPr="000808EE" w:rsidP="00005881" w14:paraId="13F2B4E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</w:tc>
        <w:tc>
          <w:tcPr>
            <w:tcW w:w="7150" w:type="dxa"/>
            <w:shd w:val="clear" w:color="auto" w:fill="auto"/>
          </w:tcPr>
          <w:p w:rsidR="00BF1DF5" w:rsidP="00FF4878" w14:paraId="6113EF31" w14:textId="7CAE76C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Examination of the sources of </w:t>
            </w:r>
            <w:r w:rsidRP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reproductive wastage and determination of management strategies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to mitigate these sources. Focus areas could include:</w:t>
            </w:r>
          </w:p>
          <w:p w:rsidR="000B1652" w:rsidP="000B1652" w14:paraId="4C0F4D24" w14:textId="77777777">
            <w:pPr>
              <w:pStyle w:val="ListParagraph"/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5C7C83" w:rsidP="005C7C83" w14:paraId="0C038E7A" w14:textId="69CCEBDD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Factors affecting fertility</w:t>
            </w:r>
          </w:p>
          <w:p w:rsidR="005C7C83" w:rsidP="005C7C83" w14:paraId="75816907" w14:textId="7282E68E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Quantifying f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oetal losses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levels and causes </w:t>
            </w:r>
          </w:p>
          <w:p w:rsidR="00CC42DA" w:rsidP="005C7C83" w14:paraId="22D3CD40" w14:textId="44C5424D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Quantifying rates of kid loss due to predation </w:t>
            </w:r>
          </w:p>
          <w:p w:rsidR="00BF1DF5" w:rsidRPr="000808EE" w:rsidP="00FF4878" w14:paraId="54CC17BF" w14:textId="77777777">
            <w:pPr>
              <w:pStyle w:val="ListParagraph"/>
              <w:spacing w:after="0" w:line="240" w:lineRule="auto"/>
              <w:ind w:left="108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</w:tc>
      </w:tr>
      <w:tr w14:paraId="108816A7" w14:textId="77777777" w:rsidTr="00005881">
        <w:tblPrEx>
          <w:tblW w:w="913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696"/>
        </w:trPr>
        <w:tc>
          <w:tcPr>
            <w:tcW w:w="1985" w:type="dxa"/>
            <w:vMerge/>
            <w:shd w:val="clear" w:color="auto" w:fill="auto"/>
            <w:noWrap/>
          </w:tcPr>
          <w:p w:rsidR="00BF1DF5" w:rsidRPr="000808EE" w:rsidP="00005881" w14:paraId="6A6423A5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</w:tc>
        <w:tc>
          <w:tcPr>
            <w:tcW w:w="7150" w:type="dxa"/>
            <w:shd w:val="clear" w:color="auto" w:fill="auto"/>
          </w:tcPr>
          <w:p w:rsidR="00BF1DF5" w:rsidP="00FF4878" w14:paraId="1EB86A41" w14:textId="77777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Development of supporting resources and tools for goat producers: </w:t>
            </w:r>
          </w:p>
          <w:p w:rsidR="00BF1DF5" w:rsidRPr="005B5314" w:rsidP="00005881" w14:paraId="23D0F603" w14:textId="77777777">
            <w:pPr>
              <w:pStyle w:val="ListParagraph"/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BF1DF5" w:rsidRPr="005B5314" w:rsidP="000B1652" w14:paraId="227AA5FC" w14:textId="5ACE45AC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Management packages of resources and tools the establish </w:t>
            </w:r>
            <w:r w:rsidRP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weight and condition score targets for maidens and does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.</w:t>
            </w:r>
          </w:p>
          <w:p w:rsidR="00BF1DF5" w:rsidRPr="005B5314" w:rsidP="00005881" w14:paraId="563E86AB" w14:textId="77777777">
            <w:pPr>
              <w:pStyle w:val="ListParagraph"/>
              <w:spacing w:after="0" w:line="240" w:lineRule="auto"/>
              <w:ind w:left="108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BF1DF5" w:rsidRPr="00EF4831" w:rsidP="000B1652" w14:paraId="0899D4DF" w14:textId="713ADA1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Producer resources and tools to support </w:t>
            </w:r>
            <w:r w:rsidRPr="00463D3B" w:rsidR="00CC42D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self-replacing</w:t>
            </w:r>
            <w:r w:rsidRP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 xml:space="preserve"> goat her</w:t>
            </w:r>
            <w:r w:rsid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d</w:t>
            </w:r>
            <w:r w:rsidRP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</w:t>
            </w:r>
          </w:p>
        </w:tc>
      </w:tr>
      <w:tr w14:paraId="19DB258C" w14:textId="77777777" w:rsidTr="00405321">
        <w:tblPrEx>
          <w:tblW w:w="9135" w:type="dxa"/>
          <w:tblInd w:w="-5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489"/>
        </w:trPr>
        <w:tc>
          <w:tcPr>
            <w:tcW w:w="1985" w:type="dxa"/>
            <w:shd w:val="clear" w:color="auto" w:fill="auto"/>
            <w:noWrap/>
          </w:tcPr>
          <w:p w:rsidR="00EE772A" w:rsidRPr="000808EE" w:rsidP="00005881" w14:paraId="589BF66F" w14:textId="777777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</w:tc>
        <w:tc>
          <w:tcPr>
            <w:tcW w:w="7150" w:type="dxa"/>
            <w:shd w:val="clear" w:color="auto" w:fill="auto"/>
          </w:tcPr>
          <w:p w:rsidR="00EE772A" w:rsidP="00FF4878" w14:paraId="3DB0D360" w14:textId="020F3560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6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The development of </w:t>
            </w:r>
            <w:r w:rsidRP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sentinel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</w:t>
            </w:r>
            <w:r w:rsidRPr="00463D3B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0"/>
                <w:lang w:val="en-AU" w:eastAsia="en-AU" w:bidi="ar-SA"/>
              </w:rPr>
              <w:t>herds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 xml:space="preserve"> supported by producer demonstration herds aimed at:</w:t>
            </w:r>
          </w:p>
          <w:p w:rsidR="000B1652" w:rsidP="000B1652" w14:paraId="1C7F4871" w14:textId="77777777">
            <w:pPr>
              <w:pStyle w:val="ListParagraph"/>
              <w:spacing w:after="0" w:line="240" w:lineRule="auto"/>
              <w:ind w:left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</w:p>
          <w:p w:rsidR="00EE772A" w:rsidP="000B1652" w14:paraId="27BBA8D9" w14:textId="4F5AA8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Improving production and welfare focussed management options</w:t>
            </w:r>
          </w:p>
          <w:p w:rsidR="00EE772A" w:rsidP="000B1652" w14:paraId="03339E5F" w14:textId="67338E60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Enabling industry to witness best management practi</w:t>
            </w:r>
            <w:r w:rsidR="00CC42DA"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e</w:t>
            </w:r>
          </w:p>
          <w:p w:rsidR="00EE772A" w:rsidP="000B1652" w14:paraId="7249F223" w14:textId="492B9F5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1080" w:hanging="360"/>
              <w:contextualSpacing/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0"/>
                <w:lang w:val="en-AU" w:eastAsia="en-AU" w:bidi="ar-SA"/>
              </w:rPr>
              <w:t>Collecting baseline kid loss data and demonstrating how management practices are being used to mitigate kid loss.</w:t>
            </w:r>
          </w:p>
        </w:tc>
      </w:tr>
    </w:tbl>
    <w:p w:rsidR="00E35BB8" w:rsidP="00F02A97" w14:paraId="3B85A170" w14:textId="77777777">
      <w:pPr>
        <w:spacing w:line="276" w:lineRule="auto"/>
        <w:jc w:val="both"/>
        <w:rPr>
          <w:rFonts w:asciiTheme="minorHAnsi" w:hAnsiTheme="minorHAnsi"/>
          <w:sz w:val="22"/>
        </w:rPr>
      </w:pPr>
    </w:p>
    <w:p w:rsidR="00FB58D5" w:rsidP="00F02A97" w14:paraId="232B3B51" w14:textId="2C191388">
      <w:pPr>
        <w:spacing w:line="276" w:lineRule="auto"/>
        <w:jc w:val="both"/>
        <w:rPr>
          <w:rFonts w:asciiTheme="minorHAnsi" w:hAnsiTheme="minorHAnsi"/>
          <w:sz w:val="22"/>
        </w:rPr>
      </w:pPr>
      <w:r w:rsidRPr="00567B31">
        <w:rPr>
          <w:rFonts w:asciiTheme="minorHAnsi" w:hAnsiTheme="minorHAnsi"/>
          <w:b/>
          <w:sz w:val="22"/>
          <w:u w:val="single"/>
        </w:rPr>
        <w:t xml:space="preserve">Applications close on </w:t>
      </w:r>
      <w:r w:rsidR="00C703F8">
        <w:rPr>
          <w:rFonts w:asciiTheme="minorHAnsi" w:hAnsiTheme="minorHAnsi"/>
          <w:b/>
          <w:sz w:val="22"/>
          <w:u w:val="single"/>
        </w:rPr>
        <w:t>20</w:t>
      </w:r>
      <w:r w:rsidR="004B0B8C">
        <w:rPr>
          <w:rFonts w:asciiTheme="minorHAnsi" w:hAnsiTheme="minorHAnsi"/>
          <w:b/>
          <w:sz w:val="22"/>
          <w:u w:val="single"/>
        </w:rPr>
        <w:t>th</w:t>
      </w:r>
      <w:r w:rsidR="002F67F4">
        <w:rPr>
          <w:rFonts w:asciiTheme="minorHAnsi" w:hAnsiTheme="minorHAnsi"/>
          <w:b/>
          <w:sz w:val="22"/>
          <w:u w:val="single"/>
        </w:rPr>
        <w:t xml:space="preserve"> </w:t>
      </w:r>
      <w:r w:rsidR="00CC42DA">
        <w:rPr>
          <w:rFonts w:asciiTheme="minorHAnsi" w:hAnsiTheme="minorHAnsi"/>
          <w:b/>
          <w:sz w:val="22"/>
          <w:u w:val="single"/>
        </w:rPr>
        <w:t>October</w:t>
      </w:r>
      <w:r w:rsidR="002F67F4">
        <w:rPr>
          <w:rFonts w:asciiTheme="minorHAnsi" w:hAnsiTheme="minorHAnsi"/>
          <w:b/>
          <w:sz w:val="22"/>
          <w:u w:val="single"/>
        </w:rPr>
        <w:t xml:space="preserve"> 2021</w:t>
      </w:r>
      <w:r>
        <w:rPr>
          <w:rFonts w:asciiTheme="minorHAnsi" w:hAnsiTheme="minorHAnsi"/>
          <w:sz w:val="22"/>
        </w:rPr>
        <w:t xml:space="preserve"> and applicants are encouraged to contact the relevant MLA </w:t>
      </w:r>
      <w:r w:rsidR="002F67F4">
        <w:rPr>
          <w:rFonts w:asciiTheme="minorHAnsi" w:hAnsiTheme="minorHAnsi"/>
          <w:sz w:val="22"/>
        </w:rPr>
        <w:t>Managers</w:t>
      </w:r>
      <w:r w:rsidRPr="00BF1DF5" w:rsidR="00A064BD">
        <w:rPr>
          <w:rFonts w:asciiTheme="minorHAnsi" w:hAnsiTheme="minorHAnsi"/>
          <w:sz w:val="22"/>
        </w:rPr>
        <w:t xml:space="preserve"> </w:t>
      </w:r>
      <w:r w:rsidRPr="00BF1DF5">
        <w:rPr>
          <w:rFonts w:asciiTheme="minorHAnsi" w:hAnsiTheme="minorHAnsi"/>
          <w:sz w:val="22"/>
        </w:rPr>
        <w:t xml:space="preserve">prior to submitting applications. </w:t>
      </w:r>
    </w:p>
    <w:p w:rsidR="002F67F4" w:rsidP="00970765" w14:paraId="08ECA948" w14:textId="7E04358C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C05AC" w:rsidP="00970765" w14:paraId="3E42AF72" w14:textId="3AFEEA6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See separate tender documents for further information and templates required to submit applications. </w:t>
      </w:r>
    </w:p>
    <w:p w:rsidR="004C05AC" w:rsidP="00970765" w14:paraId="13DC765A" w14:textId="77777777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0765" w:rsidRPr="00970765" w:rsidP="00970765" w14:paraId="0DA4F14B" w14:textId="1F517AB0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0012DE">
        <w:rPr>
          <w:rFonts w:asciiTheme="minorHAnsi" w:hAnsiTheme="minorHAnsi" w:cstheme="minorHAnsi"/>
          <w:b/>
          <w:sz w:val="22"/>
          <w:szCs w:val="22"/>
        </w:rPr>
        <w:t>For further information</w:t>
      </w:r>
      <w:r w:rsidRPr="00970765">
        <w:rPr>
          <w:rFonts w:asciiTheme="minorHAnsi" w:hAnsiTheme="minorHAnsi" w:cstheme="minorHAnsi"/>
          <w:sz w:val="22"/>
          <w:szCs w:val="22"/>
        </w:rPr>
        <w:t>:</w:t>
      </w:r>
    </w:p>
    <w:p w:rsidR="00970765" w:rsidP="00970765" w14:paraId="0BC98020" w14:textId="340B423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Joe Gebbels, MLA Program Manager, Sheep &amp; Goat Productivity Research &amp; Development</w:t>
      </w:r>
      <w:r w:rsidR="000012DE">
        <w:rPr>
          <w:rFonts w:asciiTheme="minorHAnsi" w:hAnsiTheme="minorHAnsi" w:cstheme="minorHAnsi"/>
          <w:sz w:val="22"/>
          <w:szCs w:val="22"/>
        </w:rPr>
        <w:t xml:space="preserve">, Phone: 0407 002 928, email: </w:t>
      </w:r>
      <w:r w:rsidRPr="00A71696" w:rsidR="000012DE">
        <w:rPr>
          <w:rStyle w:val="DefaultParagraphFont"/>
          <w:rFonts w:asciiTheme="minorHAnsi" w:hAnsiTheme="minorHAnsi" w:cstheme="minorHAnsi"/>
          <w:sz w:val="22"/>
          <w:szCs w:val="22"/>
        </w:rPr>
        <w:t>jgebbels@mla.com.au</w:t>
      </w:r>
      <w:r w:rsidR="000012D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F1E77" w14:paraId="589935D5" w14:textId="77777777"/>
    <w:sectPr w:rsidSect="003E20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440" w:bottom="1440" w:left="1440" w:header="720" w:footer="1021" w:gutter="0"/>
      <w:paperSrc w:first="15" w:other="15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8D6" w14:paraId="4BBE77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320CB" w:rsidRPr="00176B95" w:rsidP="00176B95" w14:paraId="589935D6" w14:textId="3E47B72C">
    <w:pPr>
      <w:pStyle w:val="Footer"/>
      <w:jc w:val="right"/>
    </w:pPr>
    <w:r w:rsidRPr="00176B95">
      <w:rPr>
        <w:rFonts w:asciiTheme="minorHAnsi" w:hAnsiTheme="minorHAnsi"/>
        <w:b/>
        <w:sz w:val="20"/>
      </w:rPr>
      <w:t xml:space="preserve">Goat </w:t>
    </w:r>
    <w:r w:rsidR="00C92A22">
      <w:rPr>
        <w:rFonts w:asciiTheme="minorHAnsi" w:hAnsiTheme="minorHAnsi"/>
        <w:b/>
        <w:sz w:val="20"/>
      </w:rPr>
      <w:t>reproductive performance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381A" w:rsidRPr="00C92A22" w:rsidP="00C92A22" w14:paraId="589935D8" w14:textId="1D54F311">
    <w:pPr>
      <w:pStyle w:val="Footer"/>
      <w:jc w:val="right"/>
    </w:pPr>
    <w:r>
      <w:rPr>
        <w:rFonts w:asciiTheme="minorHAnsi" w:hAnsiTheme="minorHAnsi"/>
        <w:b/>
        <w:sz w:val="20"/>
      </w:rPr>
      <w:t>G</w:t>
    </w:r>
    <w:r w:rsidRPr="00C92A22">
      <w:rPr>
        <w:rFonts w:asciiTheme="minorHAnsi" w:hAnsiTheme="minorHAnsi"/>
        <w:b/>
        <w:sz w:val="20"/>
      </w:rPr>
      <w:t>oat reproductive performance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8D6" w14:paraId="6D275FA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708D6" w14:paraId="37080AD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374B" w:rsidP="0093374B" w14:paraId="589935D7" w14:textId="20F6DC5B">
    <w:pPr>
      <w:pStyle w:val="Header"/>
      <w:jc w:val="right"/>
    </w:pPr>
    <w:r w:rsidRPr="00AF1201">
      <w:rPr>
        <w:noProof/>
        <w:lang w:val="en-GB" w:eastAsia="en-GB"/>
      </w:rPr>
      <w:drawing>
        <wp:inline distT="0" distB="0" distL="0" distR="0">
          <wp:extent cx="1827828" cy="527538"/>
          <wp:effectExtent l="0" t="0" r="1270" b="6350"/>
          <wp:docPr id="2" name="Picture 2" descr="C:\Users\jgebbels\OneDrive - Meat &amp; Livestock Australia Limited\Documents\Templates\MDC Logo 2016 – Col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:\Users\jgebbels\OneDrive - Meat &amp; Livestock Australia Limited\Documents\Templates\MDC Logo 2016 – Col-white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61690" cy="537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73D1E"/>
    <w:multiLevelType w:val="hybridMultilevel"/>
    <w:tmpl w:val="DDF23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561C9"/>
    <w:multiLevelType w:val="hybridMultilevel"/>
    <w:tmpl w:val="6CEAB0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02DC"/>
    <w:multiLevelType w:val="hybridMultilevel"/>
    <w:tmpl w:val="B0146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0196B"/>
    <w:multiLevelType w:val="hybridMultilevel"/>
    <w:tmpl w:val="3A869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2266D"/>
    <w:multiLevelType w:val="hybridMultilevel"/>
    <w:tmpl w:val="CEFC4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173F3"/>
    <w:multiLevelType w:val="hybridMultilevel"/>
    <w:tmpl w:val="242C0E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47549"/>
    <w:multiLevelType w:val="hybridMultilevel"/>
    <w:tmpl w:val="9D8CA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A4AC0"/>
    <w:multiLevelType w:val="hybridMultilevel"/>
    <w:tmpl w:val="F7C02AE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438A9"/>
    <w:multiLevelType w:val="hybridMultilevel"/>
    <w:tmpl w:val="85F458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6552ED"/>
    <w:multiLevelType w:val="hybridMultilevel"/>
    <w:tmpl w:val="FE02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974ABE"/>
    <w:multiLevelType w:val="hybridMultilevel"/>
    <w:tmpl w:val="166C803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40681D"/>
    <w:multiLevelType w:val="hybridMultilevel"/>
    <w:tmpl w:val="D89C7BC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26474"/>
    <w:multiLevelType w:val="hybridMultilevel"/>
    <w:tmpl w:val="F1EED53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D2857C4"/>
    <w:multiLevelType w:val="hybridMultilevel"/>
    <w:tmpl w:val="6DE45B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655396"/>
    <w:multiLevelType w:val="hybridMultilevel"/>
    <w:tmpl w:val="1714C4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1B082E"/>
    <w:multiLevelType w:val="hybridMultilevel"/>
    <w:tmpl w:val="0E1EE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11258"/>
    <w:multiLevelType w:val="hybridMultilevel"/>
    <w:tmpl w:val="DA465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E32E6"/>
    <w:multiLevelType w:val="hybridMultilevel"/>
    <w:tmpl w:val="A1CA393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EF42D3"/>
    <w:multiLevelType w:val="hybridMultilevel"/>
    <w:tmpl w:val="1714C44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0A6EB6"/>
    <w:multiLevelType w:val="hybridMultilevel"/>
    <w:tmpl w:val="166C8030"/>
    <w:lvl w:ilvl="0">
      <w:start w:val="1"/>
      <w:numFmt w:val="lowerLetter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B71370"/>
    <w:multiLevelType w:val="multilevel"/>
    <w:tmpl w:val="AF1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6B432F95"/>
    <w:multiLevelType w:val="hybridMultilevel"/>
    <w:tmpl w:val="B1A6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15F94"/>
    <w:multiLevelType w:val="hybridMultilevel"/>
    <w:tmpl w:val="036C89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4160B"/>
    <w:multiLevelType w:val="multilevel"/>
    <w:tmpl w:val="AF1099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7DA20BBA"/>
    <w:multiLevelType w:val="hybridMultilevel"/>
    <w:tmpl w:val="E446E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pStyle w:val="Level2Legal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0"/>
  </w:num>
  <w:num w:numId="4">
    <w:abstractNumId w:val="2"/>
  </w:num>
  <w:num w:numId="5">
    <w:abstractNumId w:val="12"/>
  </w:num>
  <w:num w:numId="6">
    <w:abstractNumId w:val="17"/>
  </w:num>
  <w:num w:numId="7">
    <w:abstractNumId w:val="3"/>
  </w:num>
  <w:num w:numId="8">
    <w:abstractNumId w:val="0"/>
  </w:num>
  <w:num w:numId="9">
    <w:abstractNumId w:val="14"/>
  </w:num>
  <w:num w:numId="10">
    <w:abstractNumId w:val="18"/>
  </w:num>
  <w:num w:numId="11">
    <w:abstractNumId w:val="24"/>
  </w:num>
  <w:num w:numId="12">
    <w:abstractNumId w:val="4"/>
  </w:num>
  <w:num w:numId="13">
    <w:abstractNumId w:val="13"/>
  </w:num>
  <w:num w:numId="14">
    <w:abstractNumId w:val="15"/>
  </w:num>
  <w:num w:numId="15">
    <w:abstractNumId w:val="22"/>
  </w:num>
  <w:num w:numId="16">
    <w:abstractNumId w:val="7"/>
  </w:num>
  <w:num w:numId="17">
    <w:abstractNumId w:val="6"/>
  </w:num>
  <w:num w:numId="18">
    <w:abstractNumId w:val="21"/>
  </w:num>
  <w:num w:numId="19">
    <w:abstractNumId w:val="5"/>
  </w:num>
  <w:num w:numId="20">
    <w:abstractNumId w:val="16"/>
  </w:num>
  <w:num w:numId="21">
    <w:abstractNumId w:val="9"/>
  </w:num>
  <w:num w:numId="22">
    <w:abstractNumId w:val="8"/>
  </w:num>
  <w:num w:numId="23">
    <w:abstractNumId w:val="1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16"/>
    <w:rsid w:val="000012DE"/>
    <w:rsid w:val="00005881"/>
    <w:rsid w:val="00010D0C"/>
    <w:rsid w:val="00063D05"/>
    <w:rsid w:val="000808EE"/>
    <w:rsid w:val="000B1652"/>
    <w:rsid w:val="000D4643"/>
    <w:rsid w:val="000F1779"/>
    <w:rsid w:val="00110C5C"/>
    <w:rsid w:val="00171E37"/>
    <w:rsid w:val="0017381A"/>
    <w:rsid w:val="00176B95"/>
    <w:rsid w:val="00184EF3"/>
    <w:rsid w:val="00193F8F"/>
    <w:rsid w:val="001F5B09"/>
    <w:rsid w:val="00201405"/>
    <w:rsid w:val="002104E3"/>
    <w:rsid w:val="002320CB"/>
    <w:rsid w:val="002A1B60"/>
    <w:rsid w:val="002A2720"/>
    <w:rsid w:val="002B4CE9"/>
    <w:rsid w:val="002C03EE"/>
    <w:rsid w:val="002E48C9"/>
    <w:rsid w:val="002F67F4"/>
    <w:rsid w:val="00353E61"/>
    <w:rsid w:val="00361117"/>
    <w:rsid w:val="0036138D"/>
    <w:rsid w:val="00366ABD"/>
    <w:rsid w:val="0037697F"/>
    <w:rsid w:val="00381071"/>
    <w:rsid w:val="003815E7"/>
    <w:rsid w:val="00385684"/>
    <w:rsid w:val="003D55A5"/>
    <w:rsid w:val="00405321"/>
    <w:rsid w:val="00450ACB"/>
    <w:rsid w:val="00451B1C"/>
    <w:rsid w:val="00463D3B"/>
    <w:rsid w:val="00463F5E"/>
    <w:rsid w:val="00472870"/>
    <w:rsid w:val="004B0B8C"/>
    <w:rsid w:val="004C05AC"/>
    <w:rsid w:val="004D20AB"/>
    <w:rsid w:val="004D411D"/>
    <w:rsid w:val="005175FC"/>
    <w:rsid w:val="0053232A"/>
    <w:rsid w:val="00567B31"/>
    <w:rsid w:val="005708D6"/>
    <w:rsid w:val="00577B3F"/>
    <w:rsid w:val="00585264"/>
    <w:rsid w:val="005B5314"/>
    <w:rsid w:val="005C7C83"/>
    <w:rsid w:val="005D6BB2"/>
    <w:rsid w:val="005E4FE9"/>
    <w:rsid w:val="005E67F8"/>
    <w:rsid w:val="00601376"/>
    <w:rsid w:val="00621C4E"/>
    <w:rsid w:val="00640237"/>
    <w:rsid w:val="00684904"/>
    <w:rsid w:val="00685786"/>
    <w:rsid w:val="006913B6"/>
    <w:rsid w:val="0070030A"/>
    <w:rsid w:val="007129FA"/>
    <w:rsid w:val="00785FF2"/>
    <w:rsid w:val="007B3CD6"/>
    <w:rsid w:val="007E0086"/>
    <w:rsid w:val="00825C72"/>
    <w:rsid w:val="00826156"/>
    <w:rsid w:val="008458E4"/>
    <w:rsid w:val="00846FE8"/>
    <w:rsid w:val="00874D52"/>
    <w:rsid w:val="008829C9"/>
    <w:rsid w:val="00893916"/>
    <w:rsid w:val="008977E7"/>
    <w:rsid w:val="008F6A31"/>
    <w:rsid w:val="009304BB"/>
    <w:rsid w:val="0093374B"/>
    <w:rsid w:val="00941711"/>
    <w:rsid w:val="00947DF8"/>
    <w:rsid w:val="00970765"/>
    <w:rsid w:val="00990F4C"/>
    <w:rsid w:val="009D44B6"/>
    <w:rsid w:val="009E345E"/>
    <w:rsid w:val="00A064BD"/>
    <w:rsid w:val="00A216C2"/>
    <w:rsid w:val="00A71696"/>
    <w:rsid w:val="00A96A28"/>
    <w:rsid w:val="00AB43C1"/>
    <w:rsid w:val="00AD6294"/>
    <w:rsid w:val="00AF1201"/>
    <w:rsid w:val="00AF5CC1"/>
    <w:rsid w:val="00B12F01"/>
    <w:rsid w:val="00B175D0"/>
    <w:rsid w:val="00B44A16"/>
    <w:rsid w:val="00B67CB7"/>
    <w:rsid w:val="00BB6BCB"/>
    <w:rsid w:val="00BF1DF5"/>
    <w:rsid w:val="00BF1E77"/>
    <w:rsid w:val="00C02E59"/>
    <w:rsid w:val="00C061AE"/>
    <w:rsid w:val="00C25BE6"/>
    <w:rsid w:val="00C33CE3"/>
    <w:rsid w:val="00C703F8"/>
    <w:rsid w:val="00C81BB8"/>
    <w:rsid w:val="00C92A22"/>
    <w:rsid w:val="00CA60BC"/>
    <w:rsid w:val="00CB6990"/>
    <w:rsid w:val="00CB6C77"/>
    <w:rsid w:val="00CB73B0"/>
    <w:rsid w:val="00CC42DA"/>
    <w:rsid w:val="00CF1054"/>
    <w:rsid w:val="00D73DCF"/>
    <w:rsid w:val="00DA1F46"/>
    <w:rsid w:val="00DB3766"/>
    <w:rsid w:val="00DC1CC7"/>
    <w:rsid w:val="00DE24D2"/>
    <w:rsid w:val="00DF63A1"/>
    <w:rsid w:val="00E35BB8"/>
    <w:rsid w:val="00E5590F"/>
    <w:rsid w:val="00E62103"/>
    <w:rsid w:val="00E949F6"/>
    <w:rsid w:val="00EC31F4"/>
    <w:rsid w:val="00ED1412"/>
    <w:rsid w:val="00EE772A"/>
    <w:rsid w:val="00EF4831"/>
    <w:rsid w:val="00F02A97"/>
    <w:rsid w:val="00F12EEB"/>
    <w:rsid w:val="00F15119"/>
    <w:rsid w:val="00F31EE4"/>
    <w:rsid w:val="00F3349F"/>
    <w:rsid w:val="00F47512"/>
    <w:rsid w:val="00F656DB"/>
    <w:rsid w:val="00F77FAD"/>
    <w:rsid w:val="00F82E71"/>
    <w:rsid w:val="00FB3F61"/>
    <w:rsid w:val="00FB58D5"/>
    <w:rsid w:val="00FC7201"/>
    <w:rsid w:val="00FE1D64"/>
    <w:rsid w:val="00FF4878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993581"/>
  <w15:chartTrackingRefBased/>
  <w15:docId w15:val="{269C4877-411F-407E-BCB1-CE6D75D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1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Heading MLA"/>
    <w:basedOn w:val="Normal"/>
    <w:next w:val="Normal"/>
    <w:link w:val="Heading1Char"/>
    <w:uiPriority w:val="9"/>
    <w:qFormat/>
    <w:rsid w:val="005E67F8"/>
    <w:pPr>
      <w:keepNext/>
      <w:keepLines/>
      <w:spacing w:before="240"/>
      <w:outlineLvl w:val="0"/>
    </w:pPr>
    <w:rPr>
      <w:rFonts w:ascii="Calibri" w:hAnsi="Calibri" w:eastAsiaTheme="majorEastAsia" w:cstheme="majorBidi"/>
      <w:color w:val="00754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3D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4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16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B44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4A1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aliases w:val="Bullet Level 1,Bullet List"/>
    <w:basedOn w:val="Normal"/>
    <w:link w:val="ListParagraphChar"/>
    <w:uiPriority w:val="34"/>
    <w:qFormat/>
    <w:rsid w:val="00B44A16"/>
    <w:pPr>
      <w:ind w:left="720"/>
      <w:contextualSpacing/>
    </w:pPr>
  </w:style>
  <w:style w:type="character" w:customStyle="1" w:styleId="ListParagraphChar">
    <w:name w:val="List Paragraph Char"/>
    <w:aliases w:val="Bullet Level 1 Char,Bullet List Char"/>
    <w:basedOn w:val="DefaultParagraphFont"/>
    <w:link w:val="ListParagraph"/>
    <w:uiPriority w:val="34"/>
    <w:rsid w:val="00B44A1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6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1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1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1A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1A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aliases w:val="Heading MLA Char"/>
    <w:basedOn w:val="DefaultParagraphFont"/>
    <w:link w:val="Heading1"/>
    <w:uiPriority w:val="9"/>
    <w:rsid w:val="005E67F8"/>
    <w:rPr>
      <w:rFonts w:ascii="Calibri" w:hAnsi="Calibri" w:eastAsiaTheme="majorEastAsia" w:cstheme="majorBidi"/>
      <w:color w:val="00754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3D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6849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04"/>
    <w:rPr>
      <w:color w:val="954F72" w:themeColor="followedHyperlink"/>
      <w:u w:val="single"/>
    </w:rPr>
  </w:style>
  <w:style w:type="paragraph" w:customStyle="1" w:styleId="Level2Legal">
    <w:name w:val="Level 2 (Legal)"/>
    <w:basedOn w:val="Normal"/>
    <w:rsid w:val="00970765"/>
    <w:pPr>
      <w:keepNext/>
      <w:numPr>
        <w:ilvl w:val="2"/>
        <w:numId w:val="11"/>
      </w:numPr>
      <w:tabs>
        <w:tab w:val="left" w:pos="1701"/>
        <w:tab w:val="left" w:pos="2409"/>
      </w:tabs>
      <w:spacing w:before="120" w:after="240"/>
      <w:jc w:val="both"/>
      <w:outlineLvl w:val="1"/>
    </w:pPr>
    <w:rPr>
      <w:rFonts w:eastAsia="Times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9D53E905E74DA24F8CEF64B37815BDF3000688742E8C8D1146987A5918FEEC3FEA" ma:contentTypeVersion="1" ma:contentTypeDescription="Create a new document." ma:contentTypeScope="" ma:versionID="3af8f2546377701f16697a8337de396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Producer xmlns="19b8493e-6336-4ea5-bda5-3f66a131ef01" xsi:nil="true"/>
    <mvOriginal_x0020_Modified xmlns="19b8493e-6336-4ea5-bda5-3f66a131ef01" xsi:nil="true"/>
    <mvOriginal_x0020_Created xmlns="19b8493e-6336-4ea5-bda5-3f66a131ef01" xsi:nil="true"/>
  </documentManagement>
</p:properties>
</file>

<file path=customXml/itemProps1.xml><?xml version="1.0" encoding="utf-8"?>
<ds:datastoreItem xmlns:ds="http://schemas.openxmlformats.org/officeDocument/2006/customXml" ds:itemID="{DFFADFCA-711C-4A06-BEC4-F04141412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6C46CD-40C9-43C8-AA22-ED1E76B5E42A}">
  <ds:schemaRefs>
    <ds:schemaRef ds:uri="http://schemas.microsoft.com/office/2006/metadata/properties"/>
    <ds:schemaRef ds:uri="http://schemas.microsoft.com/office/infopath/2007/PartnerControls"/>
    <ds:schemaRef ds:uri="19b8493e-6336-4ea5-bda5-3f66a131ef01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1</ap:TotalTime>
  <ap:Pages>2</ap:Pages>
  <ap:Words>523</ap:Words>
  <ap:Characters>2987</ap:Characters>
  <ap:Application>Microsoft Office Word</ap:Application>
  <ap:DocSecurity>0</ap:DocSecurity>
  <ap:Lines>24</ap:Lines>
  <ap:Paragraphs>7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3503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2022-04-28T00:37:51Z</dcterms:created>
  <dcterms:modified xsi:type="dcterms:W3CDTF">2022-04-28T00:37:51Z</dcterms:modified>
</cp:coreProperties>
</file>