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D7026" w:rsidP="000D7026" w14:paraId="45314C81" w14:textId="77777777">
      <w:pPr>
        <w:pStyle w:val="NoSpacing"/>
        <w:jc w:val="center"/>
        <w:rPr>
          <w:b/>
          <w:sz w:val="28"/>
        </w:rPr>
      </w:pPr>
      <w:r>
        <w:rPr>
          <w:b/>
          <w:noProof/>
          <w:sz w:val="28"/>
          <w:lang w:eastAsia="en-AU"/>
        </w:rPr>
        <w:drawing>
          <wp:anchor distT="0" distB="0" distL="114300" distR="114300" simplePos="0" relativeHeight="251658240" behindDoc="1" locked="0" layoutInCell="1" allowOverlap="1">
            <wp:simplePos x="0" y="0"/>
            <wp:positionH relativeFrom="column">
              <wp:posOffset>4108450</wp:posOffset>
            </wp:positionH>
            <wp:positionV relativeFrom="paragraph">
              <wp:posOffset>-484505</wp:posOffset>
            </wp:positionV>
            <wp:extent cx="1773555" cy="819150"/>
            <wp:effectExtent l="0" t="0" r="0" b="0"/>
            <wp:wrapTight wrapText="bothSides">
              <wp:wrapPolygon>
                <wp:start x="0" y="0"/>
                <wp:lineTo x="0" y="21098"/>
                <wp:lineTo x="21345" y="21098"/>
                <wp:lineTo x="21345" y="0"/>
                <wp:lineTo x="0" y="0"/>
              </wp:wrapPolygon>
            </wp:wrapTight>
            <wp:docPr id="1" name="Picture 1" descr="C:\Users\jpetty\Downloads\MLA logo, colour, jpg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petty\Downloads\MLA logo, colour, jpg format.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7355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026" w:rsidP="000D7026" w14:paraId="45314C82" w14:textId="77777777">
      <w:pPr>
        <w:pStyle w:val="NoSpacing"/>
        <w:jc w:val="center"/>
        <w:rPr>
          <w:b/>
          <w:sz w:val="28"/>
        </w:rPr>
      </w:pPr>
    </w:p>
    <w:p w:rsidR="000D7026" w:rsidRPr="00670448" w:rsidP="000D7026" w14:paraId="45314C83" w14:textId="77777777">
      <w:pPr>
        <w:pStyle w:val="NoSpacing"/>
        <w:jc w:val="center"/>
        <w:rPr>
          <w:b/>
          <w:sz w:val="36"/>
        </w:rPr>
      </w:pPr>
      <w:r w:rsidRPr="00670448">
        <w:rPr>
          <w:b/>
          <w:sz w:val="36"/>
        </w:rPr>
        <w:t>Terms of Reference</w:t>
      </w:r>
    </w:p>
    <w:p w:rsidR="000D7026" w:rsidRPr="00670448" w:rsidP="000D7026" w14:paraId="45314C84" w14:textId="77777777">
      <w:pPr>
        <w:pStyle w:val="NoSpacing"/>
        <w:rPr>
          <w:b/>
        </w:rPr>
      </w:pPr>
    </w:p>
    <w:p w:rsidR="00227F13" w:rsidRPr="000D7026" w:rsidP="000D7026" w14:paraId="45314C85" w14:textId="6392B29C">
      <w:pPr>
        <w:pStyle w:val="NoSpacing"/>
        <w:jc w:val="center"/>
        <w:rPr>
          <w:b/>
          <w:bCs/>
          <w:sz w:val="28"/>
        </w:rPr>
      </w:pPr>
      <w:r>
        <w:rPr>
          <w:b/>
          <w:bCs/>
          <w:sz w:val="28"/>
        </w:rPr>
        <w:t xml:space="preserve">National Goat Roadshow </w:t>
      </w:r>
    </w:p>
    <w:p w:rsidR="007306CF" w:rsidP="00325098" w14:paraId="69DF34DC" w14:textId="77777777">
      <w:pPr>
        <w:pStyle w:val="NoSpacing"/>
        <w:rPr>
          <w:b/>
        </w:rPr>
      </w:pPr>
    </w:p>
    <w:p w:rsidR="00227F13" w:rsidRPr="00325098" w:rsidP="00325098" w14:paraId="45314C89" w14:textId="77777777">
      <w:pPr>
        <w:pStyle w:val="NoSpacing"/>
        <w:rPr>
          <w:b/>
        </w:rPr>
      </w:pPr>
      <w:r w:rsidRPr="00325098">
        <w:rPr>
          <w:b/>
        </w:rPr>
        <w:t xml:space="preserve">Background </w:t>
      </w:r>
    </w:p>
    <w:p w:rsidR="000B44CD" w:rsidP="000B44CD" w14:paraId="2AC4DCA2" w14:textId="698FE9EE">
      <w:pPr>
        <w:pStyle w:val="NoSpacing"/>
      </w:pPr>
      <w:r>
        <w:t>MLA has produced a range of new resources and tools to assist goat producers in improving their profitability and productivity. There is a need to both raise awareness within the industry of these new resources</w:t>
      </w:r>
      <w:r w:rsidR="008E1244">
        <w:t xml:space="preserve"> and to increase usage,</w:t>
      </w:r>
      <w:r>
        <w:t xml:space="preserve"> and to recruit producers into Category B</w:t>
      </w:r>
      <w:r w:rsidR="008F5CAB">
        <w:t>*</w:t>
      </w:r>
      <w:r>
        <w:t xml:space="preserve"> and C</w:t>
      </w:r>
      <w:r w:rsidR="008F5CAB">
        <w:t>*</w:t>
      </w:r>
      <w:r>
        <w:t xml:space="preserve"> extension programs for long term business gains.  </w:t>
      </w:r>
    </w:p>
    <w:p w:rsidR="00C4284D" w:rsidP="000B44CD" w14:paraId="0DDAFDD7" w14:textId="77777777">
      <w:pPr>
        <w:pStyle w:val="NoSpacing"/>
      </w:pPr>
    </w:p>
    <w:p w:rsidR="00227F13" w:rsidRPr="00325098" w:rsidP="00325098" w14:paraId="45314C8C" w14:textId="680CA16C">
      <w:pPr>
        <w:pStyle w:val="NoSpacing"/>
        <w:rPr>
          <w:b/>
        </w:rPr>
      </w:pPr>
      <w:r w:rsidRPr="00325098">
        <w:rPr>
          <w:b/>
        </w:rPr>
        <w:t>Purpose</w:t>
      </w:r>
      <w:r w:rsidRPr="00325098" w:rsidR="00325098">
        <w:rPr>
          <w:b/>
        </w:rPr>
        <w:t xml:space="preserve"> </w:t>
      </w:r>
    </w:p>
    <w:p w:rsidR="00C4284D" w:rsidRPr="00C4284D" w:rsidP="000D7026" w14:paraId="2391B71C" w14:textId="38FEACEB">
      <w:pPr>
        <w:pStyle w:val="NoSpacing"/>
        <w:rPr>
          <w:bCs/>
        </w:rPr>
      </w:pPr>
      <w:r>
        <w:rPr>
          <w:bCs/>
        </w:rPr>
        <w:t>The contractor will plan and execute a series of events around major goat production areas</w:t>
      </w:r>
      <w:r w:rsidR="00A02C5C">
        <w:rPr>
          <w:bCs/>
        </w:rPr>
        <w:t xml:space="preserve"> in 17/18 and 18/19</w:t>
      </w:r>
      <w:r w:rsidR="00D576C9">
        <w:rPr>
          <w:bCs/>
        </w:rPr>
        <w:t xml:space="preserve"> targeting both existing and potential commercial goat producers</w:t>
      </w:r>
      <w:r>
        <w:rPr>
          <w:bCs/>
        </w:rPr>
        <w:t xml:space="preserve">. </w:t>
      </w:r>
      <w:r w:rsidRPr="00C4284D">
        <w:rPr>
          <w:bCs/>
        </w:rPr>
        <w:t>These events are multipurpose</w:t>
      </w:r>
      <w:r>
        <w:rPr>
          <w:bCs/>
        </w:rPr>
        <w:t>. They will be:</w:t>
      </w:r>
      <w:r w:rsidRPr="00C4284D">
        <w:rPr>
          <w:bCs/>
        </w:rPr>
        <w:t xml:space="preserve"> </w:t>
      </w:r>
    </w:p>
    <w:p w:rsidR="00C4284D" w:rsidRPr="00C4284D" w:rsidP="00A02C5C" w14:paraId="2548DB8D" w14:textId="0CDAA83F">
      <w:pPr>
        <w:pStyle w:val="NoSpacing"/>
        <w:numPr>
          <w:ilvl w:val="0"/>
          <w:numId w:val="15"/>
        </w:numPr>
        <w:rPr>
          <w:bCs/>
        </w:rPr>
      </w:pPr>
      <w:r w:rsidRPr="00C4284D">
        <w:rPr>
          <w:bCs/>
        </w:rPr>
        <w:t>Designed as feeder</w:t>
      </w:r>
      <w:r w:rsidR="00A51B58">
        <w:rPr>
          <w:bCs/>
        </w:rPr>
        <w:t>**</w:t>
      </w:r>
      <w:r w:rsidRPr="00C4284D">
        <w:rPr>
          <w:bCs/>
        </w:rPr>
        <w:t xml:space="preserve"> (recruitment) activities </w:t>
      </w:r>
      <w:r>
        <w:rPr>
          <w:bCs/>
        </w:rPr>
        <w:t>for</w:t>
      </w:r>
      <w:r w:rsidRPr="00C4284D">
        <w:rPr>
          <w:bCs/>
        </w:rPr>
        <w:t xml:space="preserve"> the </w:t>
      </w:r>
      <w:r>
        <w:rPr>
          <w:bCs/>
        </w:rPr>
        <w:t xml:space="preserve">MLA </w:t>
      </w:r>
      <w:r w:rsidRPr="00C4284D">
        <w:rPr>
          <w:bCs/>
        </w:rPr>
        <w:t>EDGE and P</w:t>
      </w:r>
      <w:r w:rsidR="00D576C9">
        <w:rPr>
          <w:bCs/>
        </w:rPr>
        <w:t>rofitable Grazing Systems (PGS)</w:t>
      </w:r>
      <w:r w:rsidRPr="00C4284D">
        <w:rPr>
          <w:bCs/>
        </w:rPr>
        <w:t xml:space="preserve"> programs </w:t>
      </w:r>
      <w:r>
        <w:rPr>
          <w:bCs/>
        </w:rPr>
        <w:t xml:space="preserve">with </w:t>
      </w:r>
      <w:r w:rsidR="00055BF4">
        <w:rPr>
          <w:bCs/>
        </w:rPr>
        <w:t xml:space="preserve">clear </w:t>
      </w:r>
      <w:r w:rsidR="008E1244">
        <w:rPr>
          <w:bCs/>
        </w:rPr>
        <w:t xml:space="preserve">attendance and </w:t>
      </w:r>
      <w:r w:rsidR="00055BF4">
        <w:rPr>
          <w:bCs/>
        </w:rPr>
        <w:t xml:space="preserve">enrolment targets for each event </w:t>
      </w:r>
    </w:p>
    <w:p w:rsidR="00C4284D" w:rsidP="00A02C5C" w14:paraId="0071B724" w14:textId="79F6F64F">
      <w:pPr>
        <w:pStyle w:val="NoSpacing"/>
        <w:numPr>
          <w:ilvl w:val="0"/>
          <w:numId w:val="15"/>
        </w:numPr>
        <w:rPr>
          <w:bCs/>
        </w:rPr>
      </w:pPr>
      <w:r>
        <w:rPr>
          <w:bCs/>
        </w:rPr>
        <w:t>Awareness raising for new resources and the goat industry more generally</w:t>
      </w:r>
    </w:p>
    <w:p w:rsidR="00055BF4" w:rsidP="00A02C5C" w14:paraId="64C2893F" w14:textId="1DEE965E">
      <w:pPr>
        <w:pStyle w:val="NoSpacing"/>
        <w:numPr>
          <w:ilvl w:val="0"/>
          <w:numId w:val="15"/>
        </w:numPr>
        <w:rPr>
          <w:bCs/>
        </w:rPr>
      </w:pPr>
      <w:r>
        <w:rPr>
          <w:bCs/>
        </w:rPr>
        <w:t xml:space="preserve">Improved understanding between farmed and rangeland producers as to the needs and operation styles of each </w:t>
      </w:r>
    </w:p>
    <w:p w:rsidR="00C4284D" w:rsidP="00C4284D" w14:paraId="21133C24" w14:textId="77777777">
      <w:pPr>
        <w:pStyle w:val="NoSpacing"/>
        <w:rPr>
          <w:bCs/>
        </w:rPr>
      </w:pPr>
    </w:p>
    <w:p w:rsidR="008E1244" w:rsidRPr="008E1244" w:rsidP="00C4284D" w14:paraId="2BAE48DF" w14:textId="629CCFB6">
      <w:pPr>
        <w:pStyle w:val="NoSpacing"/>
        <w:rPr>
          <w:b/>
          <w:bCs/>
        </w:rPr>
      </w:pPr>
      <w:r w:rsidRPr="008E1244">
        <w:rPr>
          <w:b/>
          <w:bCs/>
        </w:rPr>
        <w:t xml:space="preserve">Additional information </w:t>
      </w:r>
    </w:p>
    <w:p w:rsidR="008E1244" w:rsidP="00C4284D" w14:paraId="10B99954" w14:textId="20B6FC3E">
      <w:pPr>
        <w:pStyle w:val="NoSpacing"/>
        <w:rPr>
          <w:bCs/>
        </w:rPr>
      </w:pPr>
      <w:r>
        <w:rPr>
          <w:bCs/>
        </w:rPr>
        <w:t xml:space="preserve">While the method is not already determined, the roadshow recipe should be flexible and may factor in for example tours between rangeland and farmed producer enterprises </w:t>
      </w:r>
      <w:r w:rsidR="00A02C5C">
        <w:rPr>
          <w:bCs/>
        </w:rPr>
        <w:t xml:space="preserve">to assist in addressing point three listed above. </w:t>
      </w:r>
      <w:r>
        <w:rPr>
          <w:bCs/>
        </w:rPr>
        <w:t>The events must comply with the PGS definition and structure of a feeder activity</w:t>
      </w:r>
      <w:r w:rsidR="00D576C9">
        <w:rPr>
          <w:bCs/>
        </w:rPr>
        <w:t xml:space="preserve"> </w:t>
      </w:r>
      <w:r w:rsidR="00A51B58">
        <w:rPr>
          <w:bCs/>
        </w:rPr>
        <w:t xml:space="preserve">(see below definition) </w:t>
      </w:r>
      <w:r w:rsidR="00D576C9">
        <w:rPr>
          <w:bCs/>
        </w:rPr>
        <w:t xml:space="preserve">and therefore sponsorship and producer financial contributions will be expected to factor into the project’s budget.  </w:t>
      </w:r>
      <w:r w:rsidR="008F5CAB">
        <w:rPr>
          <w:bCs/>
        </w:rPr>
        <w:t xml:space="preserve">The MLA investment into each feeder activity will be a maximum of 50% as with PGS. </w:t>
      </w:r>
    </w:p>
    <w:p w:rsidR="008E1244" w:rsidP="00C4284D" w14:paraId="03A9FF28" w14:textId="77777777">
      <w:pPr>
        <w:pStyle w:val="NoSpacing"/>
        <w:rPr>
          <w:bCs/>
        </w:rPr>
      </w:pPr>
    </w:p>
    <w:p w:rsidR="008E1244" w:rsidRPr="00F213B7" w:rsidP="008E1244" w14:paraId="27EB7856" w14:textId="2915AE4B">
      <w:pPr>
        <w:pStyle w:val="NoSpacing"/>
      </w:pPr>
      <w:r>
        <w:rPr>
          <w:bCs/>
        </w:rPr>
        <w:t>A monitoring and evaluation plan will be expected as a part of this project to assist in calculating the success or not of the project and estimated return on investment to industry.</w:t>
      </w:r>
      <w:r w:rsidR="00F213B7">
        <w:rPr>
          <w:bCs/>
        </w:rPr>
        <w:t xml:space="preserve"> Targets for a</w:t>
      </w:r>
      <w:r w:rsidR="00F213B7">
        <w:t xml:space="preserve">ttendance numbers for commercial producers will need to be agreed upon along with recruitment targets into Category B and C programs.  </w:t>
      </w:r>
      <w:r>
        <w:rPr>
          <w:bCs/>
        </w:rPr>
        <w:t xml:space="preserve"> </w:t>
      </w:r>
    </w:p>
    <w:p w:rsidR="008E1244" w:rsidP="00C4284D" w14:paraId="34383E87" w14:textId="77777777">
      <w:pPr>
        <w:pStyle w:val="NoSpacing"/>
        <w:rPr>
          <w:bCs/>
        </w:rPr>
      </w:pPr>
    </w:p>
    <w:p w:rsidR="000D7026" w:rsidRPr="00657725" w:rsidP="000D7026" w14:paraId="45314C9C" w14:textId="77777777">
      <w:pPr>
        <w:pStyle w:val="NoSpacing"/>
      </w:pPr>
      <w:r w:rsidRPr="00657725">
        <w:rPr>
          <w:b/>
          <w:bCs/>
        </w:rPr>
        <w:t xml:space="preserve">Process </w:t>
      </w:r>
    </w:p>
    <w:p w:rsidR="000D7026" w:rsidP="000D7026" w14:paraId="45314C9D" w14:textId="2F31433C">
      <w:pPr>
        <w:pStyle w:val="NoSpacing"/>
      </w:pPr>
      <w:r>
        <w:t xml:space="preserve">Please complete </w:t>
      </w:r>
      <w:r w:rsidRPr="00657725">
        <w:t xml:space="preserve">an </w:t>
      </w:r>
      <w:r w:rsidRPr="00530246">
        <w:rPr>
          <w:bCs/>
          <w:i/>
        </w:rPr>
        <w:t>MLA Full Project Application</w:t>
      </w:r>
      <w:r w:rsidRPr="00530246">
        <w:rPr>
          <w:b/>
          <w:bCs/>
          <w:i/>
        </w:rPr>
        <w:t xml:space="preserve"> </w:t>
      </w:r>
      <w:r w:rsidRPr="00530246" w:rsidR="00530246">
        <w:rPr>
          <w:bCs/>
          <w:i/>
        </w:rPr>
        <w:t>F</w:t>
      </w:r>
      <w:r w:rsidRPr="00530246">
        <w:rPr>
          <w:bCs/>
          <w:i/>
        </w:rPr>
        <w:t>orm</w:t>
      </w:r>
      <w:r w:rsidRPr="00657725">
        <w:t>.</w:t>
      </w:r>
      <w:r w:rsidR="000B44CD">
        <w:t xml:space="preserve"> </w:t>
      </w:r>
      <w:r w:rsidRPr="00657725">
        <w:t xml:space="preserve">The application must be submitted as a Microsoft Word Document. To access the project application template, go to </w:t>
      </w:r>
      <w:r w:rsidRPr="00EF2DE0">
        <w:rPr>
          <w:rStyle w:val="DefaultParagraphFont"/>
        </w:rPr>
        <w:t>https://www.mla.com.au/research-and-development/funding-opportunities/industry-researchers/</w:t>
      </w:r>
      <w:r>
        <w:t xml:space="preserve"> </w:t>
      </w:r>
      <w:r w:rsidRPr="00257DAB">
        <w:t xml:space="preserve"> </w:t>
      </w:r>
      <w:r>
        <w:t xml:space="preserve">  </w:t>
      </w:r>
    </w:p>
    <w:p w:rsidR="00325098" w:rsidP="000D7026" w14:paraId="45314C9E" w14:textId="77777777">
      <w:pPr>
        <w:pStyle w:val="NoSpacing"/>
      </w:pPr>
      <w:r w:rsidRPr="00657725">
        <w:t xml:space="preserve"> </w:t>
      </w:r>
    </w:p>
    <w:p w:rsidR="000D7026" w:rsidRPr="00657725" w:rsidP="000D7026" w14:paraId="45314C9F" w14:textId="77777777">
      <w:pPr>
        <w:pStyle w:val="NoSpacing"/>
      </w:pPr>
      <w:r>
        <w:t>T</w:t>
      </w:r>
      <w:r w:rsidRPr="00657725">
        <w:t xml:space="preserve">he proposal should: </w:t>
      </w:r>
    </w:p>
    <w:p w:rsidR="000D7026" w:rsidRPr="00657725" w:rsidP="000D7026" w14:paraId="45314CA0" w14:textId="77777777">
      <w:pPr>
        <w:pStyle w:val="NoSpacing"/>
        <w:numPr>
          <w:ilvl w:val="0"/>
          <w:numId w:val="4"/>
        </w:numPr>
      </w:pPr>
      <w:r w:rsidRPr="00657725">
        <w:t>Detail the approach that will be adopted to address the project objectives</w:t>
      </w:r>
    </w:p>
    <w:p w:rsidR="000D7026" w:rsidRPr="00657725" w:rsidP="000D7026" w14:paraId="45314CA1" w14:textId="77777777">
      <w:pPr>
        <w:pStyle w:val="NoSpacing"/>
        <w:numPr>
          <w:ilvl w:val="0"/>
          <w:numId w:val="4"/>
        </w:numPr>
      </w:pPr>
      <w:r w:rsidRPr="00657725">
        <w:t>Detail the specific work activities proposed and timelines for their achievement</w:t>
      </w:r>
    </w:p>
    <w:p w:rsidR="000D7026" w:rsidRPr="00657725" w:rsidP="000D7026" w14:paraId="45314CA2" w14:textId="77777777">
      <w:pPr>
        <w:pStyle w:val="NoSpacing"/>
        <w:numPr>
          <w:ilvl w:val="0"/>
          <w:numId w:val="4"/>
        </w:numPr>
      </w:pPr>
      <w:r w:rsidRPr="00657725">
        <w:t>Include a detailed and fully costed budget that covers all the resources required to undertake the work, including details of basis for charging (daily fees, number of days, expenses, etc.)</w:t>
      </w:r>
      <w:r>
        <w:t>.</w:t>
      </w:r>
      <w:r w:rsidRPr="00657725">
        <w:t xml:space="preserve"> </w:t>
      </w:r>
    </w:p>
    <w:p w:rsidR="000D7026" w:rsidRPr="00657725" w:rsidP="000D7026" w14:paraId="45314CA3" w14:textId="77777777">
      <w:pPr>
        <w:pStyle w:val="NoSpacing"/>
        <w:numPr>
          <w:ilvl w:val="0"/>
          <w:numId w:val="4"/>
        </w:numPr>
      </w:pPr>
      <w:r w:rsidRPr="00657725">
        <w:t xml:space="preserve">Propose a payment schedule, taking account of the following: </w:t>
      </w:r>
    </w:p>
    <w:p w:rsidR="000D7026" w:rsidRPr="00657725" w:rsidP="000D7026" w14:paraId="45314CA4" w14:textId="77777777">
      <w:pPr>
        <w:pStyle w:val="NoSpacing"/>
        <w:numPr>
          <w:ilvl w:val="1"/>
          <w:numId w:val="3"/>
        </w:numPr>
      </w:pPr>
      <w:r>
        <w:t>p</w:t>
      </w:r>
      <w:r w:rsidRPr="00657725">
        <w:t>rogress payments may be negotiated against project milestones if the size and timescale of the project warrant this. The proposal should propose milestones and payments if required</w:t>
      </w:r>
      <w:r>
        <w:t>.</w:t>
      </w:r>
    </w:p>
    <w:p w:rsidR="000D7026" w:rsidRPr="00657725" w:rsidP="000D7026" w14:paraId="45314CA5" w14:textId="77777777">
      <w:pPr>
        <w:pStyle w:val="NoSpacing"/>
        <w:numPr>
          <w:ilvl w:val="1"/>
          <w:numId w:val="3"/>
        </w:numPr>
      </w:pPr>
      <w:r>
        <w:t>a</w:t>
      </w:r>
      <w:r w:rsidRPr="00657725">
        <w:t xml:space="preserve"> minimum of 20% of the project budget must be retained for payment against the final milestone</w:t>
      </w:r>
      <w:r>
        <w:t>.</w:t>
      </w:r>
    </w:p>
    <w:p w:rsidR="000D7026" w:rsidP="000D7026" w14:paraId="45314CA6" w14:textId="77777777">
      <w:pPr>
        <w:pStyle w:val="NoSpacing"/>
        <w:numPr>
          <w:ilvl w:val="1"/>
          <w:numId w:val="3"/>
        </w:numPr>
      </w:pPr>
      <w:r>
        <w:t>p</w:t>
      </w:r>
      <w:r w:rsidRPr="00657725">
        <w:t>ayment of fees will be upon MLA acceptance of the attainment of the project milestones</w:t>
      </w:r>
      <w:r>
        <w:t>.</w:t>
      </w:r>
    </w:p>
    <w:p w:rsidR="000D7026" w:rsidP="000D7026" w14:paraId="45314CA7" w14:textId="77777777">
      <w:pPr>
        <w:pStyle w:val="NoSpacing"/>
        <w:rPr>
          <w:color w:val="FF0000"/>
        </w:rPr>
      </w:pPr>
    </w:p>
    <w:p w:rsidR="000D7026" w:rsidRPr="00467496" w:rsidP="000D7026" w14:paraId="45314CA8" w14:textId="436E2E92">
      <w:pPr>
        <w:pStyle w:val="NoSpacing"/>
      </w:pPr>
      <w:r w:rsidRPr="00467496">
        <w:t xml:space="preserve">Please note delivery dates included in the application must be realistic as it </w:t>
      </w:r>
      <w:r w:rsidR="00C4284D">
        <w:t>is</w:t>
      </w:r>
      <w:r w:rsidRPr="00467496">
        <w:t xml:space="preserve"> MLA’s expectation that these are met.  </w:t>
      </w:r>
    </w:p>
    <w:p w:rsidR="00325098" w:rsidP="00325098" w14:paraId="45314CB3" w14:textId="05B307E5">
      <w:pPr>
        <w:pStyle w:val="NoSpacing"/>
      </w:pPr>
    </w:p>
    <w:p w:rsidR="003D4862" w:rsidRPr="00657725" w:rsidP="003D4862" w14:paraId="71FC0E1F" w14:textId="77777777">
      <w:pPr>
        <w:pStyle w:val="NoSpacing"/>
      </w:pPr>
      <w:r w:rsidRPr="00657725">
        <w:rPr>
          <w:b/>
          <w:bCs/>
        </w:rPr>
        <w:t xml:space="preserve">Selection </w:t>
      </w:r>
      <w:r>
        <w:rPr>
          <w:b/>
          <w:bCs/>
        </w:rPr>
        <w:t>c</w:t>
      </w:r>
      <w:r w:rsidRPr="00657725">
        <w:rPr>
          <w:b/>
          <w:bCs/>
        </w:rPr>
        <w:t>riteria</w:t>
      </w:r>
      <w:r w:rsidRPr="00657725">
        <w:t xml:space="preserve"> </w:t>
      </w:r>
    </w:p>
    <w:p w:rsidR="003D4862" w:rsidRPr="00657725" w:rsidP="003D4862" w14:paraId="6DB6A5BB" w14:textId="77777777">
      <w:pPr>
        <w:pStyle w:val="NoSpacing"/>
      </w:pPr>
      <w:r w:rsidRPr="00657725">
        <w:t xml:space="preserve">Applications will be reviewed by </w:t>
      </w:r>
      <w:r>
        <w:t xml:space="preserve">GICA </w:t>
      </w:r>
      <w:r w:rsidRPr="00657725">
        <w:t xml:space="preserve">and </w:t>
      </w:r>
      <w:r>
        <w:t>MLA</w:t>
      </w:r>
      <w:r w:rsidRPr="00657725">
        <w:t xml:space="preserve"> and selection of the successful proposal will be based on assessment against the following criteria: </w:t>
      </w:r>
    </w:p>
    <w:p w:rsidR="003D4862" w:rsidRPr="00657725" w:rsidP="003D4862" w14:paraId="1300FB7C" w14:textId="77777777">
      <w:pPr>
        <w:pStyle w:val="NoSpacing"/>
        <w:numPr>
          <w:ilvl w:val="0"/>
          <w:numId w:val="5"/>
        </w:numPr>
      </w:pPr>
      <w:r w:rsidRPr="00657725">
        <w:t>Soundness of the method proposed to achieve the project objective</w:t>
      </w:r>
    </w:p>
    <w:p w:rsidR="008F5CAB" w:rsidRPr="008F5CAB" w:rsidP="008F5CAB" w14:paraId="10D4575A" w14:textId="77777777">
      <w:pPr>
        <w:pStyle w:val="NoSpacing"/>
        <w:numPr>
          <w:ilvl w:val="0"/>
          <w:numId w:val="5"/>
        </w:numPr>
      </w:pPr>
      <w:r>
        <w:t>Demonstrated e</w:t>
      </w:r>
      <w:r w:rsidRPr="00D15BC5" w:rsidR="003D4862">
        <w:t xml:space="preserve">xperience </w:t>
      </w:r>
      <w:r>
        <w:t xml:space="preserve">in </w:t>
      </w:r>
      <w:r w:rsidRPr="008E1244">
        <w:rPr>
          <w:rFonts w:ascii="Calibri" w:eastAsia="Times New Roman" w:hAnsi="Calibri" w:cs="Arial"/>
          <w:lang w:eastAsia="en-AU"/>
        </w:rPr>
        <w:t>delivering high quality extension activities with high producer engagement</w:t>
      </w:r>
    </w:p>
    <w:p w:rsidR="003D4862" w:rsidRPr="00D15BC5" w:rsidP="008F5CAB" w14:paraId="79AEFCEF" w14:textId="0AF5AD2B">
      <w:pPr>
        <w:pStyle w:val="NoSpacing"/>
        <w:numPr>
          <w:ilvl w:val="0"/>
          <w:numId w:val="5"/>
        </w:numPr>
      </w:pPr>
      <w:r w:rsidRPr="00D15BC5">
        <w:t xml:space="preserve">Experience </w:t>
      </w:r>
      <w:r w:rsidR="00D576C9">
        <w:t xml:space="preserve">in </w:t>
      </w:r>
      <w:r w:rsidR="008F5CAB">
        <w:t>course content and deliverer evaluation</w:t>
      </w:r>
    </w:p>
    <w:p w:rsidR="008E1244" w:rsidP="008E1244" w14:paraId="11F09785" w14:textId="3E78D6FF">
      <w:pPr>
        <w:pStyle w:val="NoSpacing"/>
        <w:numPr>
          <w:ilvl w:val="0"/>
          <w:numId w:val="5"/>
        </w:numPr>
      </w:pPr>
      <w:r w:rsidRPr="00657725">
        <w:t xml:space="preserve">The project budget, delivery timeline and assessed value for money. </w:t>
      </w:r>
    </w:p>
    <w:p w:rsidR="008E1244" w:rsidP="008E1244" w14:paraId="4DCA326F" w14:textId="77777777">
      <w:pPr>
        <w:pStyle w:val="NoSpacing"/>
      </w:pPr>
    </w:p>
    <w:p w:rsidR="00AF0F95" w:rsidRPr="00325098" w:rsidP="00325098" w14:paraId="45314CB4" w14:textId="77777777">
      <w:pPr>
        <w:pStyle w:val="NoSpacing"/>
        <w:rPr>
          <w:b/>
        </w:rPr>
      </w:pPr>
      <w:r w:rsidRPr="00325098">
        <w:rPr>
          <w:b/>
        </w:rPr>
        <w:t xml:space="preserve">Time/budget </w:t>
      </w:r>
    </w:p>
    <w:p w:rsidR="00D576C9" w:rsidP="00CA6638" w14:paraId="443AE92F" w14:textId="568849B3">
      <w:pPr>
        <w:pStyle w:val="NoSpacing"/>
      </w:pPr>
      <w:r>
        <w:t xml:space="preserve">The project will be contracted as soon as possible and run for approximately 24 months. </w:t>
      </w:r>
    </w:p>
    <w:p w:rsidR="00D576C9" w:rsidP="00CA6638" w14:paraId="49A4E8EB" w14:textId="77777777">
      <w:pPr>
        <w:pStyle w:val="NoSpacing"/>
      </w:pPr>
    </w:p>
    <w:p w:rsidR="00A02C5C" w:rsidP="00CA6638" w14:paraId="5A306CF6" w14:textId="10926402">
      <w:pPr>
        <w:pStyle w:val="NoSpacing"/>
      </w:pPr>
      <w:r>
        <w:t xml:space="preserve">Stop/go milestones will be included in the project at key evaluation points. </w:t>
      </w:r>
      <w:r>
        <w:t xml:space="preserve">A budget for this work has not been set. Applicants may choose to base their </w:t>
      </w:r>
      <w:r>
        <w:t>budget</w:t>
      </w:r>
      <w:r>
        <w:t xml:space="preserve"> around the following as a guide</w:t>
      </w:r>
      <w:r>
        <w:t xml:space="preserve">: </w:t>
      </w:r>
      <w:r>
        <w:t xml:space="preserve"> </w:t>
      </w:r>
    </w:p>
    <w:p w:rsidR="00530246" w:rsidP="00CA6638" w14:paraId="5B135E77" w14:textId="77777777">
      <w:pPr>
        <w:pStyle w:val="NoSpacing"/>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839"/>
        <w:gridCol w:w="2388"/>
        <w:gridCol w:w="5245"/>
      </w:tblGrid>
      <w:tr w14:paraId="6C7807AD" w14:textId="3C9FCD6C" w:rsidTr="008A58CF">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839" w:type="dxa"/>
          </w:tcPr>
          <w:p w:rsidR="00A02C5C" w:rsidRPr="00CE58DF" w:rsidP="00A02C5C" w14:paraId="4A07F71B" w14:textId="21A6203D">
            <w:pPr>
              <w:pStyle w:val="NoSpacing"/>
              <w:spacing w:after="0" w:line="240" w:lineRule="auto"/>
              <w:rPr>
                <w:rFonts w:asciiTheme="minorHAnsi" w:eastAsiaTheme="minorHAnsi" w:hAnsiTheme="minorHAnsi" w:cstheme="minorBidi"/>
                <w:b/>
                <w:sz w:val="22"/>
                <w:szCs w:val="22"/>
                <w:lang w:val="en-AU" w:eastAsia="en-US" w:bidi="ar-SA"/>
              </w:rPr>
            </w:pPr>
            <w:r w:rsidRPr="00CE58DF">
              <w:rPr>
                <w:rFonts w:asciiTheme="minorHAnsi" w:eastAsiaTheme="minorHAnsi" w:hAnsiTheme="minorHAnsi" w:cstheme="minorBidi"/>
                <w:b/>
                <w:sz w:val="22"/>
                <w:szCs w:val="22"/>
                <w:lang w:val="en-AU" w:eastAsia="en-US" w:bidi="ar-SA"/>
              </w:rPr>
              <w:t xml:space="preserve">State </w:t>
            </w:r>
          </w:p>
        </w:tc>
        <w:tc>
          <w:tcPr>
            <w:tcW w:w="2388" w:type="dxa"/>
          </w:tcPr>
          <w:p w:rsidR="00A02C5C" w:rsidRPr="00CE58DF" w:rsidP="00CA6638" w14:paraId="2E9FA1B3" w14:textId="3965962E">
            <w:pPr>
              <w:pStyle w:val="NoSpacing"/>
              <w:spacing w:after="0" w:line="240" w:lineRule="auto"/>
              <w:rPr>
                <w:rFonts w:asciiTheme="minorHAnsi" w:eastAsiaTheme="minorHAnsi" w:hAnsiTheme="minorHAnsi" w:cstheme="minorBidi"/>
                <w:b/>
                <w:sz w:val="22"/>
                <w:szCs w:val="22"/>
                <w:lang w:val="en-AU" w:eastAsia="en-US" w:bidi="ar-SA"/>
              </w:rPr>
            </w:pPr>
            <w:r w:rsidRPr="00CE58DF">
              <w:rPr>
                <w:rFonts w:asciiTheme="minorHAnsi" w:eastAsiaTheme="minorHAnsi" w:hAnsiTheme="minorHAnsi" w:cstheme="minorBidi"/>
                <w:b/>
                <w:sz w:val="22"/>
                <w:szCs w:val="22"/>
                <w:lang w:val="en-AU" w:eastAsia="en-US" w:bidi="ar-SA"/>
              </w:rPr>
              <w:t>Number of meetings per year</w:t>
            </w:r>
            <w:r w:rsidR="008A58CF">
              <w:rPr>
                <w:rFonts w:asciiTheme="minorHAnsi" w:eastAsiaTheme="minorHAnsi" w:hAnsiTheme="minorHAnsi" w:cstheme="minorBidi"/>
                <w:b/>
                <w:sz w:val="22"/>
                <w:szCs w:val="22"/>
                <w:lang w:val="en-AU" w:eastAsia="en-US" w:bidi="ar-SA"/>
              </w:rPr>
              <w:t xml:space="preserve"> (maximum)</w:t>
            </w:r>
            <w:r w:rsidRPr="00CE58DF">
              <w:rPr>
                <w:rFonts w:asciiTheme="minorHAnsi" w:eastAsiaTheme="minorHAnsi" w:hAnsiTheme="minorHAnsi" w:cstheme="minorBidi"/>
                <w:b/>
                <w:sz w:val="22"/>
                <w:szCs w:val="22"/>
                <w:lang w:val="en-AU" w:eastAsia="en-US" w:bidi="ar-SA"/>
              </w:rPr>
              <w:t xml:space="preserve"> </w:t>
            </w:r>
          </w:p>
        </w:tc>
        <w:tc>
          <w:tcPr>
            <w:tcW w:w="5245" w:type="dxa"/>
          </w:tcPr>
          <w:p w:rsidR="00A02C5C" w:rsidRPr="00CE58DF" w:rsidP="00CA6638" w14:paraId="59988119" w14:textId="3255288D">
            <w:pPr>
              <w:pStyle w:val="NoSpacing"/>
              <w:spacing w:after="0" w:line="240" w:lineRule="auto"/>
              <w:rPr>
                <w:rFonts w:asciiTheme="minorHAnsi" w:eastAsiaTheme="minorHAnsi" w:hAnsiTheme="minorHAnsi" w:cstheme="minorBidi"/>
                <w:b/>
                <w:sz w:val="22"/>
                <w:szCs w:val="22"/>
                <w:lang w:val="en-AU" w:eastAsia="en-US" w:bidi="ar-SA"/>
              </w:rPr>
            </w:pPr>
            <w:r w:rsidRPr="00CE58DF">
              <w:rPr>
                <w:rFonts w:asciiTheme="minorHAnsi" w:eastAsiaTheme="minorHAnsi" w:hAnsiTheme="minorHAnsi" w:cstheme="minorBidi"/>
                <w:b/>
                <w:sz w:val="22"/>
                <w:szCs w:val="22"/>
                <w:lang w:val="en-AU" w:eastAsia="en-US" w:bidi="ar-SA"/>
              </w:rPr>
              <w:t xml:space="preserve">Possible locations </w:t>
            </w:r>
          </w:p>
        </w:tc>
      </w:tr>
      <w:tr w14:paraId="65511A9E" w14:textId="4A9D8641" w:rsidTr="008A58CF">
        <w:tblPrEx>
          <w:tblW w:w="0" w:type="auto"/>
          <w:tblInd w:w="0" w:type="dxa"/>
          <w:tblCellMar>
            <w:top w:w="0" w:type="dxa"/>
            <w:left w:w="108" w:type="dxa"/>
            <w:bottom w:w="0" w:type="dxa"/>
            <w:right w:w="108" w:type="dxa"/>
          </w:tblCellMar>
          <w:tblLook w:val="04A0"/>
        </w:tblPrEx>
        <w:tc>
          <w:tcPr>
            <w:tcW w:w="839" w:type="dxa"/>
          </w:tcPr>
          <w:p w:rsidR="00A02C5C" w:rsidP="00CA6638" w14:paraId="53CB71AE" w14:textId="31355B2B">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 xml:space="preserve">QLD </w:t>
            </w:r>
          </w:p>
        </w:tc>
        <w:tc>
          <w:tcPr>
            <w:tcW w:w="2388" w:type="dxa"/>
          </w:tcPr>
          <w:p w:rsidR="00A02C5C" w:rsidP="00CA6638" w14:paraId="3ED50763" w14:textId="1B6BA9DB">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2-3</w:t>
            </w:r>
          </w:p>
        </w:tc>
        <w:tc>
          <w:tcPr>
            <w:tcW w:w="5245" w:type="dxa"/>
          </w:tcPr>
          <w:p w:rsidR="00A02C5C" w:rsidP="00A02C5C" w14:paraId="18345437" w14:textId="5540D6F4">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 xml:space="preserve">Rangeland (i.e. Dirranbandi, Charleville) and farmed areas </w:t>
            </w:r>
          </w:p>
        </w:tc>
      </w:tr>
      <w:tr w14:paraId="32FB7EE1" w14:textId="2A8F8B56" w:rsidTr="008A58CF">
        <w:tblPrEx>
          <w:tblW w:w="0" w:type="auto"/>
          <w:tblInd w:w="0" w:type="dxa"/>
          <w:tblCellMar>
            <w:top w:w="0" w:type="dxa"/>
            <w:left w:w="108" w:type="dxa"/>
            <w:bottom w:w="0" w:type="dxa"/>
            <w:right w:w="108" w:type="dxa"/>
          </w:tblCellMar>
          <w:tblLook w:val="04A0"/>
        </w:tblPrEx>
        <w:tc>
          <w:tcPr>
            <w:tcW w:w="839" w:type="dxa"/>
          </w:tcPr>
          <w:p w:rsidR="00A02C5C" w:rsidP="00CA6638" w14:paraId="737709F2" w14:textId="66F755BD">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NSW</w:t>
            </w:r>
          </w:p>
        </w:tc>
        <w:tc>
          <w:tcPr>
            <w:tcW w:w="2388" w:type="dxa"/>
          </w:tcPr>
          <w:p w:rsidR="00A02C5C" w:rsidP="00CA6638" w14:paraId="38C56DFE" w14:textId="0C5FF8A6">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2-3</w:t>
            </w:r>
          </w:p>
        </w:tc>
        <w:tc>
          <w:tcPr>
            <w:tcW w:w="5245" w:type="dxa"/>
          </w:tcPr>
          <w:p w:rsidR="00A02C5C" w:rsidP="00CA6638" w14:paraId="5FE13569" w14:textId="433BC930">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Rangeland (i.e. Western Division) and farmed areas</w:t>
            </w:r>
            <w:r w:rsidR="00CE58DF">
              <w:rPr>
                <w:rFonts w:asciiTheme="minorHAnsi" w:eastAsiaTheme="minorHAnsi" w:hAnsiTheme="minorHAnsi" w:cstheme="minorBidi"/>
                <w:sz w:val="22"/>
                <w:szCs w:val="22"/>
                <w:lang w:val="en-AU" w:eastAsia="en-US" w:bidi="ar-SA"/>
              </w:rPr>
              <w:t xml:space="preserve"> (i.e. Dubbo)</w:t>
            </w:r>
          </w:p>
        </w:tc>
      </w:tr>
      <w:tr w14:paraId="182A572C" w14:textId="5DCAEECF" w:rsidTr="008A58CF">
        <w:tblPrEx>
          <w:tblW w:w="0" w:type="auto"/>
          <w:tblInd w:w="0" w:type="dxa"/>
          <w:tblCellMar>
            <w:top w:w="0" w:type="dxa"/>
            <w:left w:w="108" w:type="dxa"/>
            <w:bottom w:w="0" w:type="dxa"/>
            <w:right w:w="108" w:type="dxa"/>
          </w:tblCellMar>
          <w:tblLook w:val="04A0"/>
        </w:tblPrEx>
        <w:tc>
          <w:tcPr>
            <w:tcW w:w="839" w:type="dxa"/>
          </w:tcPr>
          <w:p w:rsidR="00A02C5C" w:rsidP="00CA6638" w14:paraId="753F59AC" w14:textId="080177FA">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SA</w:t>
            </w:r>
          </w:p>
        </w:tc>
        <w:tc>
          <w:tcPr>
            <w:tcW w:w="2388" w:type="dxa"/>
          </w:tcPr>
          <w:p w:rsidR="00A02C5C" w:rsidP="008A58CF" w14:paraId="1A6016D2" w14:textId="23037A3C">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2</w:t>
            </w:r>
          </w:p>
        </w:tc>
        <w:tc>
          <w:tcPr>
            <w:tcW w:w="5245" w:type="dxa"/>
          </w:tcPr>
          <w:p w:rsidR="00A02C5C" w:rsidP="00CA6638" w14:paraId="4D386A18" w14:textId="6C764635">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Rangeland and farmed areas</w:t>
            </w:r>
          </w:p>
        </w:tc>
      </w:tr>
      <w:tr w14:paraId="2C71E51A" w14:textId="77777777" w:rsidTr="008A58CF">
        <w:tblPrEx>
          <w:tblW w:w="0" w:type="auto"/>
          <w:tblInd w:w="0" w:type="dxa"/>
          <w:tblCellMar>
            <w:top w:w="0" w:type="dxa"/>
            <w:left w:w="108" w:type="dxa"/>
            <w:bottom w:w="0" w:type="dxa"/>
            <w:right w:w="108" w:type="dxa"/>
          </w:tblCellMar>
          <w:tblLook w:val="04A0"/>
        </w:tblPrEx>
        <w:tc>
          <w:tcPr>
            <w:tcW w:w="839" w:type="dxa"/>
          </w:tcPr>
          <w:p w:rsidR="00A02C5C" w:rsidP="00CA6638" w14:paraId="5A4F3C26" w14:textId="286ED769">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VIC</w:t>
            </w:r>
          </w:p>
        </w:tc>
        <w:tc>
          <w:tcPr>
            <w:tcW w:w="2388" w:type="dxa"/>
          </w:tcPr>
          <w:p w:rsidR="00A02C5C" w:rsidP="00CA6638" w14:paraId="2CC35CAA" w14:textId="26459B9F">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1-2</w:t>
            </w:r>
          </w:p>
        </w:tc>
        <w:tc>
          <w:tcPr>
            <w:tcW w:w="5245" w:type="dxa"/>
          </w:tcPr>
          <w:p w:rsidR="00A02C5C" w:rsidP="00CA6638" w14:paraId="5DC6BDF2" w14:textId="45ACEE4A">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Farmed areas</w:t>
            </w:r>
          </w:p>
        </w:tc>
      </w:tr>
      <w:tr w14:paraId="52A291D0" w14:textId="77777777" w:rsidTr="008A58CF">
        <w:tblPrEx>
          <w:tblW w:w="0" w:type="auto"/>
          <w:tblInd w:w="0" w:type="dxa"/>
          <w:tblCellMar>
            <w:top w:w="0" w:type="dxa"/>
            <w:left w:w="108" w:type="dxa"/>
            <w:bottom w:w="0" w:type="dxa"/>
            <w:right w:w="108" w:type="dxa"/>
          </w:tblCellMar>
          <w:tblLook w:val="04A0"/>
        </w:tblPrEx>
        <w:tc>
          <w:tcPr>
            <w:tcW w:w="839" w:type="dxa"/>
          </w:tcPr>
          <w:p w:rsidR="00A02C5C" w:rsidP="00CA6638" w14:paraId="329C8ACA" w14:textId="41C0C5A9">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WA</w:t>
            </w:r>
          </w:p>
        </w:tc>
        <w:tc>
          <w:tcPr>
            <w:tcW w:w="2388" w:type="dxa"/>
          </w:tcPr>
          <w:p w:rsidR="00A02C5C" w:rsidP="00CA6638" w14:paraId="3A853FB9" w14:textId="52D39151">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1</w:t>
            </w:r>
          </w:p>
        </w:tc>
        <w:tc>
          <w:tcPr>
            <w:tcW w:w="5245" w:type="dxa"/>
          </w:tcPr>
          <w:p w:rsidR="00A02C5C" w:rsidP="00CA6638" w14:paraId="24EA7BF8" w14:textId="4B312508">
            <w:pPr>
              <w:pStyle w:val="NoSpacing"/>
              <w:spacing w:after="0" w:line="240" w:lineRule="auto"/>
              <w:rPr>
                <w:rFonts w:asciiTheme="minorHAnsi" w:eastAsiaTheme="minorHAnsi" w:hAnsiTheme="minorHAnsi" w:cstheme="minorBidi"/>
                <w:sz w:val="22"/>
                <w:szCs w:val="22"/>
                <w:lang w:val="en-AU" w:eastAsia="en-US" w:bidi="ar-SA"/>
              </w:rPr>
            </w:pPr>
            <w:r>
              <w:rPr>
                <w:rFonts w:asciiTheme="minorHAnsi" w:eastAsiaTheme="minorHAnsi" w:hAnsiTheme="minorHAnsi" w:cstheme="minorBidi"/>
                <w:sz w:val="22"/>
                <w:szCs w:val="22"/>
                <w:lang w:val="en-AU" w:eastAsia="en-US" w:bidi="ar-SA"/>
              </w:rPr>
              <w:t xml:space="preserve">Farmed areas </w:t>
            </w:r>
          </w:p>
        </w:tc>
      </w:tr>
    </w:tbl>
    <w:p w:rsidR="00F213B7" w:rsidP="00F213B7" w14:paraId="310935B5" w14:textId="7BC2F540">
      <w:pPr>
        <w:pStyle w:val="NoSpacing"/>
      </w:pPr>
    </w:p>
    <w:p w:rsidR="000D7026" w:rsidRPr="00657725" w:rsidP="000D7026" w14:paraId="45314CB7" w14:textId="4AA6966B">
      <w:pPr>
        <w:pStyle w:val="NoSpacing"/>
      </w:pPr>
      <w:r w:rsidRPr="00657725">
        <w:rPr>
          <w:b/>
          <w:bCs/>
        </w:rPr>
        <w:t xml:space="preserve">Confidentiality and IP </w:t>
      </w:r>
    </w:p>
    <w:p w:rsidR="000D7026" w:rsidP="000D7026" w14:paraId="45314CB8" w14:textId="77777777">
      <w:pPr>
        <w:pStyle w:val="NoSpacing"/>
      </w:pPr>
      <w:r w:rsidRPr="00657725">
        <w:t xml:space="preserve">Where further information is available which may assist the successful applicant in meeting the requirements of the project, MLA will provide such information to the successful applicant. </w:t>
      </w:r>
    </w:p>
    <w:p w:rsidR="000D7026" w:rsidRPr="00657725" w:rsidP="000D7026" w14:paraId="45314CB9" w14:textId="77777777">
      <w:pPr>
        <w:pStyle w:val="NoSpacing"/>
      </w:pPr>
    </w:p>
    <w:p w:rsidR="000D7026" w:rsidP="000D7026" w14:paraId="45314CBA" w14:textId="77777777">
      <w:pPr>
        <w:pStyle w:val="NoSpacing"/>
      </w:pPr>
      <w:r w:rsidRPr="00657725">
        <w:t xml:space="preserve">All data and cited references must be acknowledged appropriately in the final publication and it is the sole responsibility of the applicant to ensure copyright laws are not breached. </w:t>
      </w:r>
    </w:p>
    <w:p w:rsidR="000D7026" w:rsidRPr="00657725" w:rsidP="000D7026" w14:paraId="45314CBB" w14:textId="77777777">
      <w:pPr>
        <w:pStyle w:val="NoSpacing"/>
      </w:pPr>
    </w:p>
    <w:p w:rsidR="000D7026" w:rsidP="000D7026" w14:paraId="45314CBC" w14:textId="1F11465F">
      <w:pPr>
        <w:pStyle w:val="NoSpacing"/>
      </w:pPr>
      <w:r w:rsidRPr="00657725">
        <w:t xml:space="preserve">The </w:t>
      </w:r>
      <w:r w:rsidR="007306CF">
        <w:t>Contractor</w:t>
      </w:r>
      <w:r w:rsidR="003D4862">
        <w:t>/s</w:t>
      </w:r>
      <w:r w:rsidR="007306CF">
        <w:t xml:space="preserve"> </w:t>
      </w:r>
      <w:r w:rsidRPr="00657725">
        <w:t xml:space="preserve">will be required to enter into a standard agreement with MLA. </w:t>
      </w:r>
    </w:p>
    <w:p w:rsidR="000D7026" w:rsidRPr="00657725" w:rsidP="000D7026" w14:paraId="45314CBD" w14:textId="77777777">
      <w:pPr>
        <w:pStyle w:val="NoSpacing"/>
      </w:pPr>
    </w:p>
    <w:p w:rsidR="000D7026" w:rsidRPr="00657725" w:rsidP="000D7026" w14:paraId="45314CBE" w14:textId="77777777">
      <w:pPr>
        <w:pStyle w:val="NoSpacing"/>
      </w:pPr>
      <w:r w:rsidRPr="00657725">
        <w:rPr>
          <w:b/>
          <w:bCs/>
        </w:rPr>
        <w:t xml:space="preserve">Further </w:t>
      </w:r>
      <w:r>
        <w:rPr>
          <w:b/>
          <w:bCs/>
        </w:rPr>
        <w:t>i</w:t>
      </w:r>
      <w:r w:rsidRPr="00657725">
        <w:rPr>
          <w:b/>
          <w:bCs/>
        </w:rPr>
        <w:t xml:space="preserve">nformation </w:t>
      </w:r>
    </w:p>
    <w:p w:rsidR="000D7026" w:rsidRPr="00657725" w:rsidP="000D7026" w14:paraId="45314CBF" w14:textId="77777777">
      <w:pPr>
        <w:pStyle w:val="NoSpacing"/>
      </w:pPr>
      <w:r>
        <w:t>Julie Petty, Project Manager</w:t>
      </w:r>
      <w:r w:rsidR="00325098">
        <w:t xml:space="preserve"> – Goat Industry</w:t>
      </w:r>
      <w:r>
        <w:t xml:space="preserve">, </w:t>
      </w:r>
      <w:r w:rsidRPr="00657725">
        <w:t xml:space="preserve">Meat &amp; Livestock Australia </w:t>
      </w:r>
    </w:p>
    <w:p w:rsidR="000D7026" w:rsidRPr="00657725" w:rsidP="000D7026" w14:paraId="45314CC0" w14:textId="77777777">
      <w:pPr>
        <w:pStyle w:val="NoSpacing"/>
      </w:pPr>
      <w:r w:rsidRPr="00657725">
        <w:t xml:space="preserve">Phone: </w:t>
      </w:r>
      <w:r>
        <w:t xml:space="preserve">0411 680 516 </w:t>
      </w:r>
      <w:r w:rsidRPr="00657725">
        <w:t xml:space="preserve">Email: </w:t>
      </w:r>
      <w:r w:rsidRPr="00EF2DE0">
        <w:rPr>
          <w:rStyle w:val="DefaultParagraphFont"/>
        </w:rPr>
        <w:t>jpetty@mla.com.au</w:t>
      </w:r>
      <w:r>
        <w:t xml:space="preserve"> </w:t>
      </w:r>
      <w:r w:rsidRPr="00657725">
        <w:t xml:space="preserve"> </w:t>
      </w:r>
    </w:p>
    <w:p w:rsidR="000D7026" w:rsidP="000D7026" w14:paraId="45314CC1" w14:textId="77777777">
      <w:pPr>
        <w:pStyle w:val="NoSpacing"/>
        <w:rPr>
          <w:b/>
          <w:bCs/>
        </w:rPr>
      </w:pPr>
    </w:p>
    <w:p w:rsidR="000D7026" w:rsidRPr="00657725" w:rsidP="000D7026" w14:paraId="45314CC2" w14:textId="77777777">
      <w:pPr>
        <w:pStyle w:val="NoSpacing"/>
      </w:pPr>
      <w:r w:rsidRPr="00657725">
        <w:rPr>
          <w:b/>
          <w:bCs/>
        </w:rPr>
        <w:t xml:space="preserve">Project </w:t>
      </w:r>
      <w:r>
        <w:rPr>
          <w:b/>
          <w:bCs/>
        </w:rPr>
        <w:t>p</w:t>
      </w:r>
      <w:r w:rsidRPr="00657725">
        <w:rPr>
          <w:b/>
          <w:bCs/>
        </w:rPr>
        <w:t xml:space="preserve">roposal </w:t>
      </w:r>
      <w:r>
        <w:rPr>
          <w:b/>
          <w:bCs/>
        </w:rPr>
        <w:t>s</w:t>
      </w:r>
      <w:r w:rsidRPr="00657725">
        <w:rPr>
          <w:b/>
          <w:bCs/>
        </w:rPr>
        <w:t xml:space="preserve">ubmissions: </w:t>
      </w:r>
    </w:p>
    <w:p w:rsidR="000D7026" w:rsidRPr="00657725" w:rsidP="000D7026" w14:paraId="45314CC3" w14:textId="77777777">
      <w:pPr>
        <w:pStyle w:val="NoSpacing"/>
      </w:pPr>
      <w:r w:rsidRPr="00657725">
        <w:t>Proposals must be lodged electronically as</w:t>
      </w:r>
      <w:r>
        <w:t xml:space="preserve"> a</w:t>
      </w:r>
      <w:r w:rsidRPr="00657725">
        <w:t xml:space="preserve"> Word document to: </w:t>
      </w:r>
      <w:r w:rsidRPr="00EF2DE0">
        <w:rPr>
          <w:rStyle w:val="DefaultParagraphFont"/>
        </w:rPr>
        <w:t>applications@mla.com.au</w:t>
      </w:r>
      <w:r>
        <w:t xml:space="preserve"> </w:t>
      </w:r>
      <w:r w:rsidRPr="00657725">
        <w:t xml:space="preserve"> </w:t>
      </w:r>
    </w:p>
    <w:p w:rsidR="00325098" w:rsidP="00325098" w14:paraId="45314CC4" w14:textId="2695A0DB">
      <w:pPr>
        <w:pStyle w:val="NoSpacing"/>
        <w:rPr>
          <w:i/>
        </w:rPr>
      </w:pPr>
      <w:r w:rsidRPr="00657725">
        <w:t xml:space="preserve">Proposals must be received by </w:t>
      </w:r>
      <w:r w:rsidRPr="000326B6" w:rsidR="000326B6">
        <w:rPr>
          <w:i/>
        </w:rPr>
        <w:t>11</w:t>
      </w:r>
      <w:r w:rsidRPr="008A58CF" w:rsidR="008A58CF">
        <w:rPr>
          <w:i/>
        </w:rPr>
        <w:t xml:space="preserve"> January 2018</w:t>
      </w:r>
      <w:r>
        <w:t xml:space="preserve">. </w:t>
      </w:r>
      <w:r w:rsidRPr="00657725">
        <w:t>Strict adherence to the time deadline for applications will occur.</w:t>
      </w:r>
      <w:r>
        <w:t xml:space="preserve"> </w:t>
      </w:r>
      <w:r w:rsidRPr="00CE58DF">
        <w:rPr>
          <w:i/>
        </w:rPr>
        <w:t xml:space="preserve">A page limit of </w:t>
      </w:r>
      <w:r w:rsidR="00530246">
        <w:rPr>
          <w:i/>
        </w:rPr>
        <w:t>6</w:t>
      </w:r>
      <w:r w:rsidRPr="00CE58DF">
        <w:rPr>
          <w:i/>
        </w:rPr>
        <w:t xml:space="preserve"> will be strictly enforced. </w:t>
      </w:r>
    </w:p>
    <w:p w:rsidR="008F5CAB" w:rsidP="00325098" w14:paraId="121F7386" w14:textId="3AB22125">
      <w:pPr>
        <w:pStyle w:val="NoSpacing"/>
        <w:rPr>
          <w:i/>
        </w:rPr>
      </w:pPr>
    </w:p>
    <w:p w:rsidR="008F5CAB" w:rsidP="00325098" w14:paraId="282B2DBA" w14:textId="3716D6FA">
      <w:pPr>
        <w:pStyle w:val="NoSpacing"/>
        <w:rPr>
          <w:i/>
        </w:rPr>
      </w:pPr>
      <w:r>
        <w:rPr>
          <w:i/>
        </w:rPr>
        <w:t xml:space="preserve">* </w:t>
      </w:r>
      <w:r>
        <w:rPr>
          <w:b/>
          <w:bCs/>
          <w:sz w:val="20"/>
          <w:szCs w:val="20"/>
        </w:rPr>
        <w:t>Activity category definitions for proposed adoption program</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1649"/>
        <w:gridCol w:w="7367"/>
      </w:tblGrid>
      <w:tr w14:paraId="67F53590" w14:textId="77777777" w:rsidTr="008F5CA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1668" w:type="dxa"/>
          </w:tcPr>
          <w:p w:rsidR="008F5CAB" w:rsidP="008F5CAB" w14:paraId="0FD0C066" w14:textId="6DFB8433">
            <w:pPr>
              <w:pStyle w:val="NoSpacing"/>
              <w:spacing w:after="0" w:line="240" w:lineRule="auto"/>
              <w:rPr>
                <w:rFonts w:asciiTheme="minorHAnsi" w:eastAsiaTheme="minorHAnsi" w:hAnsiTheme="minorHAnsi" w:cstheme="minorBidi"/>
                <w:i/>
                <w:sz w:val="22"/>
                <w:szCs w:val="22"/>
                <w:lang w:val="en-AU" w:eastAsia="en-US" w:bidi="ar-SA"/>
              </w:rPr>
            </w:pPr>
            <w:r>
              <w:rPr>
                <w:rFonts w:asciiTheme="minorHAnsi" w:eastAsiaTheme="minorHAnsi" w:hAnsiTheme="minorHAnsi" w:cstheme="minorBidi"/>
                <w:b/>
                <w:bCs/>
                <w:sz w:val="20"/>
                <w:szCs w:val="20"/>
                <w:lang w:val="en-AU" w:eastAsia="en-US" w:bidi="ar-SA"/>
              </w:rPr>
              <w:t xml:space="preserve">Activity Category </w:t>
            </w:r>
          </w:p>
        </w:tc>
        <w:tc>
          <w:tcPr>
            <w:tcW w:w="7574" w:type="dxa"/>
          </w:tcPr>
          <w:p w:rsidR="008F5CAB" w:rsidP="008F5CAB" w14:paraId="5671D495" w14:textId="650B8219">
            <w:pPr>
              <w:pStyle w:val="NoSpacing"/>
              <w:spacing w:after="0" w:line="240" w:lineRule="auto"/>
              <w:rPr>
                <w:rFonts w:asciiTheme="minorHAnsi" w:eastAsiaTheme="minorHAnsi" w:hAnsiTheme="minorHAnsi" w:cstheme="minorBidi"/>
                <w:i/>
                <w:sz w:val="22"/>
                <w:szCs w:val="22"/>
                <w:lang w:val="en-AU" w:eastAsia="en-US" w:bidi="ar-SA"/>
              </w:rPr>
            </w:pPr>
            <w:r>
              <w:rPr>
                <w:rFonts w:asciiTheme="minorHAnsi" w:eastAsiaTheme="minorHAnsi" w:hAnsiTheme="minorHAnsi" w:cstheme="minorBidi"/>
                <w:b/>
                <w:bCs/>
                <w:sz w:val="20"/>
                <w:szCs w:val="20"/>
                <w:lang w:val="en-AU" w:eastAsia="en-US" w:bidi="ar-SA"/>
              </w:rPr>
              <w:t xml:space="preserve">Definition </w:t>
            </w:r>
          </w:p>
        </w:tc>
      </w:tr>
      <w:tr w14:paraId="5AB7FF2D" w14:textId="77777777" w:rsidTr="008F5CAB">
        <w:tblPrEx>
          <w:tblW w:w="0" w:type="auto"/>
          <w:tblInd w:w="0" w:type="dxa"/>
          <w:tblCellMar>
            <w:top w:w="0" w:type="dxa"/>
            <w:left w:w="108" w:type="dxa"/>
            <w:bottom w:w="0" w:type="dxa"/>
            <w:right w:w="108" w:type="dxa"/>
          </w:tblCellMar>
          <w:tblLook w:val="04A0"/>
        </w:tblPrEx>
        <w:tc>
          <w:tcPr>
            <w:tcW w:w="1668" w:type="dxa"/>
          </w:tcPr>
          <w:p w:rsidR="008F5CAB" w:rsidRPr="008F5CAB" w:rsidP="008F5CAB" w14:paraId="058AF6BE" w14:textId="77777777">
            <w:pPr>
              <w:pStyle w:val="NoSpacing"/>
              <w:spacing w:after="0" w:line="240" w:lineRule="auto"/>
              <w:rPr>
                <w:rFonts w:asciiTheme="minorHAnsi" w:eastAsiaTheme="minorHAnsi" w:hAnsiTheme="minorHAnsi" w:cstheme="minorBid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A: </w:t>
            </w:r>
          </w:p>
          <w:p w:rsidR="008F5CAB" w:rsidRPr="008F5CAB" w:rsidP="008F5CAB" w14:paraId="4514C28F" w14:textId="3F287B97">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Awareness </w:t>
            </w:r>
          </w:p>
        </w:tc>
        <w:tc>
          <w:tcPr>
            <w:tcW w:w="7574" w:type="dxa"/>
          </w:tcPr>
          <w:p w:rsidR="008F5CAB" w:rsidRPr="008F5CAB" w:rsidP="008F5CAB" w14:paraId="4878BB58" w14:textId="0F1A1BE9">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A activities form the initial stage of the learning pathway by seeking to engage producers with MLA’s extension and adoption programs. The key purpose of these events is to enable information sharing (increasing awareness) and networking. These activities </w:t>
            </w:r>
            <w:r w:rsidRPr="008F5CAB">
              <w:rPr>
                <w:rFonts w:asciiTheme="minorHAnsi" w:eastAsiaTheme="minorHAnsi" w:hAnsiTheme="minorHAnsi" w:cstheme="minorBidi"/>
                <w:i/>
                <w:iCs/>
                <w:sz w:val="20"/>
                <w:szCs w:val="22"/>
                <w:lang w:val="en-AU" w:eastAsia="en-US" w:bidi="ar-SA"/>
              </w:rPr>
              <w:t xml:space="preserve">must </w:t>
            </w:r>
            <w:r w:rsidRPr="008F5CAB">
              <w:rPr>
                <w:rFonts w:asciiTheme="minorHAnsi" w:eastAsiaTheme="minorHAnsi" w:hAnsiTheme="minorHAnsi" w:cstheme="minorBidi"/>
                <w:sz w:val="20"/>
                <w:szCs w:val="22"/>
                <w:lang w:val="en-AU" w:eastAsia="en-US" w:bidi="ar-SA"/>
              </w:rPr>
              <w:t xml:space="preserve">play a role as a feeder for either Category B or C activities (highlight opportunities for producers to increase their skills or knowledge). Examples of Category A activities are field days, forums / expos, seminars, and conferences. </w:t>
            </w:r>
          </w:p>
        </w:tc>
      </w:tr>
      <w:tr w14:paraId="351A70E1" w14:textId="77777777" w:rsidTr="008F5CAB">
        <w:tblPrEx>
          <w:tblW w:w="0" w:type="auto"/>
          <w:tblInd w:w="0" w:type="dxa"/>
          <w:tblCellMar>
            <w:top w:w="0" w:type="dxa"/>
            <w:left w:w="108" w:type="dxa"/>
            <w:bottom w:w="0" w:type="dxa"/>
            <w:right w:w="108" w:type="dxa"/>
          </w:tblCellMar>
          <w:tblLook w:val="04A0"/>
        </w:tblPrEx>
        <w:tc>
          <w:tcPr>
            <w:tcW w:w="1668" w:type="dxa"/>
          </w:tcPr>
          <w:p w:rsidR="008F5CAB" w:rsidRPr="008F5CAB" w:rsidP="008F5CAB" w14:paraId="77AD7B21" w14:textId="77777777">
            <w:pPr>
              <w:pStyle w:val="NoSpacing"/>
              <w:spacing w:after="0" w:line="240" w:lineRule="auto"/>
              <w:rPr>
                <w:rFonts w:asciiTheme="minorHAnsi" w:eastAsiaTheme="minorHAnsi" w:hAnsiTheme="minorHAnsi" w:cstheme="minorBid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B: </w:t>
            </w:r>
          </w:p>
          <w:p w:rsidR="008F5CAB" w:rsidRPr="008F5CAB" w:rsidP="008F5CAB" w14:paraId="5FC543E0" w14:textId="555997C0">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KASA change </w:t>
            </w:r>
          </w:p>
        </w:tc>
        <w:tc>
          <w:tcPr>
            <w:tcW w:w="7574" w:type="dxa"/>
          </w:tcPr>
          <w:p w:rsidR="008F5CAB" w:rsidRPr="008F5CAB" w:rsidP="008F5CAB" w14:paraId="2DC9E31C" w14:textId="691F76D7">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B activities are about building producer knowledge, skills, confidence, and, as a function of skill development, some practice change (often significant) may occur over time. KASA change is defined as a measurable increase in Knowledge, a positive change in Attitude, an increase in Skills or a change in producers’ Aspirations. An additional role of these events is to feed producers into a Category C activity, where they are able to convert the knowledge and/or skills they have gained into changes in practice which improve business performance. An example of a Category B event is a workshop or comparative analysis session. </w:t>
            </w:r>
          </w:p>
        </w:tc>
      </w:tr>
      <w:tr w14:paraId="17615198" w14:textId="77777777" w:rsidTr="008F5CAB">
        <w:tblPrEx>
          <w:tblW w:w="0" w:type="auto"/>
          <w:tblInd w:w="0" w:type="dxa"/>
          <w:tblCellMar>
            <w:top w:w="0" w:type="dxa"/>
            <w:left w:w="108" w:type="dxa"/>
            <w:bottom w:w="0" w:type="dxa"/>
            <w:right w:w="108" w:type="dxa"/>
          </w:tblCellMar>
          <w:tblLook w:val="04A0"/>
        </w:tblPrEx>
        <w:tc>
          <w:tcPr>
            <w:tcW w:w="1668" w:type="dxa"/>
          </w:tcPr>
          <w:p w:rsidR="008F5CAB" w:rsidRPr="008F5CAB" w:rsidP="008F5CAB" w14:paraId="771F0AFE" w14:textId="77777777">
            <w:pPr>
              <w:pStyle w:val="NoSpacing"/>
              <w:spacing w:after="0" w:line="240" w:lineRule="auto"/>
              <w:rPr>
                <w:rFonts w:asciiTheme="minorHAnsi" w:eastAsiaTheme="minorHAnsi" w:hAnsiTheme="minorHAnsi" w:cstheme="minorBid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C: </w:t>
            </w:r>
          </w:p>
          <w:p w:rsidR="008F5CAB" w:rsidRPr="008F5CAB" w:rsidP="008F5CAB" w14:paraId="52693B0F" w14:textId="7CF599E5">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Embedded practice Change </w:t>
            </w:r>
          </w:p>
        </w:tc>
        <w:tc>
          <w:tcPr>
            <w:tcW w:w="7574" w:type="dxa"/>
          </w:tcPr>
          <w:p w:rsidR="008F5CAB" w:rsidRPr="008F5CAB" w:rsidP="008F5CAB" w14:paraId="2A0B87B1" w14:textId="751DEE7C">
            <w:pPr>
              <w:pStyle w:val="NoSpacing"/>
              <w:spacing w:after="0" w:line="240" w:lineRule="auto"/>
              <w:rPr>
                <w:rFonts w:asciiTheme="minorHAnsi" w:eastAsiaTheme="minorHAnsi" w:hAnsiTheme="minorHAnsi" w:cstheme="minorBidi"/>
                <w:i/>
                <w:sz w:val="20"/>
                <w:szCs w:val="22"/>
                <w:lang w:val="en-AU" w:eastAsia="en-US" w:bidi="ar-SA"/>
              </w:rPr>
            </w:pPr>
            <w:r w:rsidRPr="008F5CAB">
              <w:rPr>
                <w:rFonts w:asciiTheme="minorHAnsi" w:eastAsiaTheme="minorHAnsi" w:hAnsiTheme="minorHAnsi" w:cstheme="minorBidi"/>
                <w:sz w:val="20"/>
                <w:szCs w:val="22"/>
                <w:lang w:val="en-AU" w:eastAsia="en-US" w:bidi="ar-SA"/>
              </w:rPr>
              <w:t xml:space="preserve">Category C activities are about supporting adoption and increasing the uptake of practice change amongst producers to achieve quantifiable increases in on farm productivity and profitability. The focus is on skill development and supporting implementation of new skills and learnings within the farm business. These activities would typically be delivered using a supported learning approach (e.g. coaching or benchmarking). </w:t>
            </w:r>
          </w:p>
        </w:tc>
      </w:tr>
    </w:tbl>
    <w:p w:rsidR="008F5CAB" w:rsidP="00325098" w14:paraId="7CF3CC10" w14:textId="77777777">
      <w:pPr>
        <w:pStyle w:val="NoSpacing"/>
        <w:rPr>
          <w:i/>
        </w:rPr>
      </w:pPr>
    </w:p>
    <w:p w:rsidR="008F5CAB" w:rsidRPr="00530246" w:rsidP="00325098" w14:paraId="6FBCE5EE" w14:textId="7C7E21D9">
      <w:pPr>
        <w:pStyle w:val="NoSpacing"/>
        <w:rPr>
          <w:b/>
        </w:rPr>
      </w:pPr>
      <w:r w:rsidRPr="00530246">
        <w:rPr>
          <w:b/>
        </w:rPr>
        <w:t xml:space="preserve">** Definition of a feeder activity </w:t>
      </w:r>
    </w:p>
    <w:p w:rsidR="00A51B58" w:rsidRPr="00A51B58" w:rsidP="00A51B58" w14:paraId="3C220A9E" w14:textId="0DE5857C">
      <w:pPr>
        <w:pStyle w:val="NoSpacing"/>
      </w:pPr>
      <w:r w:rsidRPr="00A51B58">
        <w:t xml:space="preserve">Whilst almost any learning activity can play a role as a feeder into another activity there are some key criteria which must be met for this to be effective and for participants at a feeder event to be recruited to the intended activity. The feeder activity must: </w:t>
      </w:r>
    </w:p>
    <w:p w:rsidR="00A51B58" w:rsidRPr="00A51B58" w:rsidP="00A51B58" w14:paraId="00FE159C" w14:textId="484702B8">
      <w:pPr>
        <w:pStyle w:val="NoSpacing"/>
        <w:numPr>
          <w:ilvl w:val="1"/>
          <w:numId w:val="4"/>
        </w:numPr>
      </w:pPr>
      <w:r w:rsidRPr="00A51B58">
        <w:t xml:space="preserve">Present a clear value proposition for </w:t>
      </w:r>
      <w:r>
        <w:t>PGS</w:t>
      </w:r>
      <w:r w:rsidRPr="00A51B58">
        <w:t xml:space="preserve"> (e.g. testimonials, ROI, money back guarantee, etc.) </w:t>
      </w:r>
    </w:p>
    <w:p w:rsidR="00A51B58" w:rsidRPr="00A51B58" w:rsidP="00A51B58" w14:paraId="2E8FBCB7" w14:textId="3DA1F649">
      <w:pPr>
        <w:pStyle w:val="NoSpacing"/>
        <w:numPr>
          <w:ilvl w:val="1"/>
          <w:numId w:val="4"/>
        </w:numPr>
      </w:pPr>
      <w:r w:rsidRPr="00A51B58">
        <w:t xml:space="preserve">Have a clear “call to action” with consistent messages from all presenters all pointing to the need for action and the benefits to action </w:t>
      </w:r>
    </w:p>
    <w:p w:rsidR="00A51B58" w:rsidRPr="00A51B58" w:rsidP="00A51B58" w14:paraId="5B47976A" w14:textId="09722F41">
      <w:pPr>
        <w:pStyle w:val="NoSpacing"/>
        <w:numPr>
          <w:ilvl w:val="1"/>
          <w:numId w:val="4"/>
        </w:numPr>
      </w:pPr>
      <w:r w:rsidRPr="00A51B58">
        <w:t xml:space="preserve">Challenge – it must challenge participants to be prepared to take the next step </w:t>
      </w:r>
    </w:p>
    <w:p w:rsidR="00A51B58" w:rsidRPr="00A51B58" w:rsidP="00A51B58" w14:paraId="6488A82B" w14:textId="7C8B9731">
      <w:pPr>
        <w:pStyle w:val="NoSpacing"/>
        <w:numPr>
          <w:ilvl w:val="1"/>
          <w:numId w:val="4"/>
        </w:numPr>
      </w:pPr>
      <w:r w:rsidRPr="00A51B58">
        <w:t xml:space="preserve">Use ‘champion’ producers to tell their story and encourage others to follow </w:t>
      </w:r>
    </w:p>
    <w:p w:rsidR="00A51B58" w:rsidRPr="00A51B58" w:rsidP="00A51B58" w14:paraId="69A855EE" w14:textId="1234370D">
      <w:pPr>
        <w:pStyle w:val="NoSpacing"/>
        <w:numPr>
          <w:ilvl w:val="1"/>
          <w:numId w:val="4"/>
        </w:numPr>
      </w:pPr>
      <w:r w:rsidRPr="00A51B58">
        <w:t xml:space="preserve">Have opportunity for sign up on the day – there must be no ambiguity or guess work about what the next steps are </w:t>
      </w:r>
    </w:p>
    <w:p w:rsidR="00A51B58" w:rsidRPr="00A51B58" w:rsidP="00A51B58" w14:paraId="79F58345" w14:textId="7830B820">
      <w:pPr>
        <w:pStyle w:val="NoSpacing"/>
        <w:numPr>
          <w:ilvl w:val="1"/>
          <w:numId w:val="4"/>
        </w:numPr>
      </w:pPr>
      <w:r w:rsidRPr="00A51B58">
        <w:t xml:space="preserve">It must have the right audience in attendance – promotion must not only target the initial activity but also the potential feeder option </w:t>
      </w:r>
    </w:p>
    <w:p w:rsidR="007306CF" w:rsidP="00325098" w14:paraId="191B1BF8" w14:textId="77777777">
      <w:pPr>
        <w:pStyle w:val="NoSpacing"/>
      </w:pPr>
    </w:p>
    <w:p w:rsidR="007306CF" w:rsidP="00325098" w14:paraId="44D74596" w14:textId="77777777">
      <w:pPr>
        <w:pStyle w:val="NoSpacing"/>
      </w:pPr>
    </w:p>
    <w:p w:rsidR="000D7026" w:rsidP="00325098" w14:paraId="45314CC5" w14:textId="77777777">
      <w:pPr>
        <w:pStyle w:val="NoSpacing"/>
        <w:rPr>
          <w:b/>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7A6B97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1EC021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2F550B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69CB80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7F1F870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3AD" w14:paraId="6CAF26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8E2EFF"/>
    <w:multiLevelType w:val="hybridMultilevel"/>
    <w:tmpl w:val="223000AE"/>
    <w:lvl w:ilvl="0">
      <w:start w:val="0"/>
      <w:numFmt w:val="bullet"/>
      <w:lvlText w:val="–"/>
      <w:lvlJc w:val="left"/>
      <w:pPr>
        <w:ind w:left="417" w:hanging="360"/>
      </w:pPr>
      <w:rPr>
        <w:rFonts w:ascii="Calibri" w:hAnsi="Calibri" w:eastAsiaTheme="minorHAnsi"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7A1C23"/>
    <w:multiLevelType w:val="hybridMultilevel"/>
    <w:tmpl w:val="1BDC4F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823529"/>
    <w:multiLevelType w:val="hybridMultilevel"/>
    <w:tmpl w:val="00D41C22"/>
    <w:lvl w:ilvl="0">
      <w:start w:val="0"/>
      <w:numFmt w:val="bullet"/>
      <w:lvlText w:val="-"/>
      <w:lvlJc w:val="left"/>
      <w:pPr>
        <w:ind w:left="417" w:hanging="360"/>
      </w:pPr>
      <w:rPr>
        <w:rFonts w:ascii="Calibri" w:eastAsia="Calibri" w:hAnsi="Calibri" w:cs="Times New Roman"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nsid w:val="1BDF7D54"/>
    <w:multiLevelType w:val="hybridMultilevel"/>
    <w:tmpl w:val="8196F28C"/>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170E1F"/>
    <w:multiLevelType w:val="hybridMultilevel"/>
    <w:tmpl w:val="E068A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D07F0C"/>
    <w:multiLevelType w:val="hybridMultilevel"/>
    <w:tmpl w:val="74BA6EFE"/>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3E3268"/>
    <w:multiLevelType w:val="hybridMultilevel"/>
    <w:tmpl w:val="114E4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D22B2D"/>
    <w:multiLevelType w:val="hybridMultilevel"/>
    <w:tmpl w:val="3118D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2B3104"/>
    <w:multiLevelType w:val="hybridMultilevel"/>
    <w:tmpl w:val="9068591E"/>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86A2306"/>
    <w:multiLevelType w:val="hybridMultilevel"/>
    <w:tmpl w:val="43627C92"/>
    <w:lvl w:ilvl="0">
      <w:start w:val="1"/>
      <w:numFmt w:val="decimal"/>
      <w:lvlText w:val="%1."/>
      <w:lvlJc w:val="left"/>
      <w:pPr>
        <w:ind w:left="720" w:hanging="360"/>
      </w:pPr>
      <w:rPr>
        <w:rFonts w:hint="default"/>
      </w:rPr>
    </w:lvl>
    <w:lvl w:ilvl="1">
      <w:start w:val="0"/>
      <w:numFmt w:val="bullet"/>
      <w:lvlText w:val="•"/>
      <w:lvlJc w:val="left"/>
      <w:pPr>
        <w:ind w:left="785" w:hanging="36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61F0560"/>
    <w:multiLevelType w:val="hybridMultilevel"/>
    <w:tmpl w:val="88AEFB42"/>
    <w:lvl w:ilvl="0">
      <w:start w:val="4"/>
      <w:numFmt w:val="bullet"/>
      <w:lvlText w:val=""/>
      <w:lvlJc w:val="left"/>
      <w:pPr>
        <w:ind w:left="720" w:hanging="360"/>
      </w:pPr>
      <w:rPr>
        <w:rFonts w:ascii="Symbol" w:hAnsi="Symbol" w:eastAsiaTheme="minorHAnsi"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9C03DFF"/>
    <w:multiLevelType w:val="hybridMultilevel"/>
    <w:tmpl w:val="1BDC4FC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BFD2760"/>
    <w:multiLevelType w:val="hybridMultilevel"/>
    <w:tmpl w:val="9C7A6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B56C85"/>
    <w:multiLevelType w:val="hybridMultilevel"/>
    <w:tmpl w:val="01A44B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AD6483"/>
    <w:multiLevelType w:val="hybridMultilevel"/>
    <w:tmpl w:val="3118D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9FB5762"/>
    <w:multiLevelType w:val="hybridMultilevel"/>
    <w:tmpl w:val="3118D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9"/>
  </w:num>
  <w:num w:numId="5">
    <w:abstractNumId w:val="4"/>
  </w:num>
  <w:num w:numId="6">
    <w:abstractNumId w:val="11"/>
  </w:num>
  <w:num w:numId="7">
    <w:abstractNumId w:val="1"/>
  </w:num>
  <w:num w:numId="8">
    <w:abstractNumId w:val="15"/>
  </w:num>
  <w:num w:numId="9">
    <w:abstractNumId w:val="5"/>
  </w:num>
  <w:num w:numId="10">
    <w:abstractNumId w:val="14"/>
  </w:num>
  <w:num w:numId="11">
    <w:abstractNumId w:val="12"/>
  </w:num>
  <w:num w:numId="12">
    <w:abstractNumId w:val="7"/>
  </w:num>
  <w:num w:numId="13">
    <w:abstractNumId w:val="0"/>
  </w:num>
  <w:num w:numId="14">
    <w:abstractNumId w:val="3"/>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13"/>
    <w:rsid w:val="00011D50"/>
    <w:rsid w:val="000326B6"/>
    <w:rsid w:val="00055BF4"/>
    <w:rsid w:val="00070C60"/>
    <w:rsid w:val="000B44CD"/>
    <w:rsid w:val="000D7026"/>
    <w:rsid w:val="00227F13"/>
    <w:rsid w:val="00257DAB"/>
    <w:rsid w:val="002D5E87"/>
    <w:rsid w:val="00325098"/>
    <w:rsid w:val="00336C6D"/>
    <w:rsid w:val="00350755"/>
    <w:rsid w:val="00365517"/>
    <w:rsid w:val="003D4862"/>
    <w:rsid w:val="003E2405"/>
    <w:rsid w:val="00467496"/>
    <w:rsid w:val="004771D1"/>
    <w:rsid w:val="005041C0"/>
    <w:rsid w:val="00530246"/>
    <w:rsid w:val="0057212B"/>
    <w:rsid w:val="006237CF"/>
    <w:rsid w:val="00657725"/>
    <w:rsid w:val="00670448"/>
    <w:rsid w:val="00706E95"/>
    <w:rsid w:val="007306CF"/>
    <w:rsid w:val="008A58CF"/>
    <w:rsid w:val="008E1244"/>
    <w:rsid w:val="008F5CAB"/>
    <w:rsid w:val="00A02C5C"/>
    <w:rsid w:val="00A459AA"/>
    <w:rsid w:val="00A51B58"/>
    <w:rsid w:val="00AF0F95"/>
    <w:rsid w:val="00C1168B"/>
    <w:rsid w:val="00C4284D"/>
    <w:rsid w:val="00C92636"/>
    <w:rsid w:val="00CA6638"/>
    <w:rsid w:val="00CE58DF"/>
    <w:rsid w:val="00D15BC5"/>
    <w:rsid w:val="00D576C9"/>
    <w:rsid w:val="00DC631C"/>
    <w:rsid w:val="00E413AD"/>
    <w:rsid w:val="00EF2DE0"/>
    <w:rsid w:val="00F213B7"/>
    <w:rsid w:val="00F4460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45314C81"/>
  <w15:docId w15:val="{C50998BC-8019-41F6-B95C-11FDCB13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F13"/>
    <w:pPr>
      <w:spacing w:after="0" w:line="240" w:lineRule="auto"/>
      <w:ind w:left="720"/>
    </w:pPr>
    <w:rPr>
      <w:rFonts w:ascii="Calibri" w:hAnsi="Calibri" w:cs="Times New Roman"/>
    </w:rPr>
  </w:style>
  <w:style w:type="paragraph" w:styleId="NoSpacing">
    <w:name w:val="No Spacing"/>
    <w:uiPriority w:val="1"/>
    <w:qFormat/>
    <w:rsid w:val="00CA6638"/>
    <w:pPr>
      <w:spacing w:after="0" w:line="240" w:lineRule="auto"/>
    </w:pPr>
  </w:style>
  <w:style w:type="character" w:styleId="Hyperlink">
    <w:name w:val="Hyperlink"/>
    <w:basedOn w:val="DefaultParagraphFont"/>
    <w:uiPriority w:val="99"/>
    <w:unhideWhenUsed/>
    <w:rsid w:val="000D7026"/>
    <w:rPr>
      <w:color w:val="0000FF" w:themeColor="hyperlink"/>
      <w:u w:val="single"/>
    </w:rPr>
  </w:style>
  <w:style w:type="character" w:styleId="CommentReference">
    <w:name w:val="annotation reference"/>
    <w:basedOn w:val="DefaultParagraphFont"/>
    <w:uiPriority w:val="99"/>
    <w:semiHidden/>
    <w:unhideWhenUsed/>
    <w:rsid w:val="007306CF"/>
    <w:rPr>
      <w:sz w:val="16"/>
      <w:szCs w:val="16"/>
    </w:rPr>
  </w:style>
  <w:style w:type="paragraph" w:styleId="CommentText">
    <w:name w:val="annotation text"/>
    <w:basedOn w:val="Normal"/>
    <w:link w:val="CommentTextChar"/>
    <w:uiPriority w:val="99"/>
    <w:unhideWhenUsed/>
    <w:rsid w:val="007306CF"/>
    <w:pPr>
      <w:spacing w:line="240" w:lineRule="auto"/>
    </w:pPr>
    <w:rPr>
      <w:sz w:val="20"/>
      <w:szCs w:val="20"/>
    </w:rPr>
  </w:style>
  <w:style w:type="character" w:customStyle="1" w:styleId="CommentTextChar">
    <w:name w:val="Comment Text Char"/>
    <w:basedOn w:val="DefaultParagraphFont"/>
    <w:link w:val="CommentText"/>
    <w:uiPriority w:val="99"/>
    <w:rsid w:val="007306CF"/>
    <w:rPr>
      <w:sz w:val="20"/>
      <w:szCs w:val="20"/>
    </w:rPr>
  </w:style>
  <w:style w:type="paragraph" w:styleId="CommentSubject">
    <w:name w:val="annotation subject"/>
    <w:basedOn w:val="CommentText"/>
    <w:next w:val="CommentText"/>
    <w:link w:val="CommentSubjectChar"/>
    <w:uiPriority w:val="99"/>
    <w:semiHidden/>
    <w:unhideWhenUsed/>
    <w:rsid w:val="007306CF"/>
    <w:rPr>
      <w:b/>
      <w:bCs/>
    </w:rPr>
  </w:style>
  <w:style w:type="character" w:customStyle="1" w:styleId="CommentSubjectChar">
    <w:name w:val="Comment Subject Char"/>
    <w:basedOn w:val="CommentTextChar"/>
    <w:link w:val="CommentSubject"/>
    <w:uiPriority w:val="99"/>
    <w:semiHidden/>
    <w:rsid w:val="007306CF"/>
    <w:rPr>
      <w:b/>
      <w:bCs/>
      <w:sz w:val="20"/>
      <w:szCs w:val="20"/>
    </w:rPr>
  </w:style>
  <w:style w:type="paragraph" w:styleId="BalloonText">
    <w:name w:val="Balloon Text"/>
    <w:basedOn w:val="Normal"/>
    <w:link w:val="BalloonTextChar"/>
    <w:uiPriority w:val="99"/>
    <w:semiHidden/>
    <w:unhideWhenUsed/>
    <w:rsid w:val="0073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6CF"/>
    <w:rPr>
      <w:rFonts w:ascii="Tahoma" w:hAnsi="Tahoma" w:cs="Tahoma"/>
      <w:sz w:val="16"/>
      <w:szCs w:val="16"/>
    </w:rPr>
  </w:style>
  <w:style w:type="table" w:styleId="TableGrid">
    <w:name w:val="Table Grid"/>
    <w:basedOn w:val="TableNormal"/>
    <w:uiPriority w:val="59"/>
    <w:rsid w:val="000B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5CA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30246"/>
    <w:rPr>
      <w:color w:val="800080" w:themeColor="followedHyperlink"/>
      <w:u w:val="single"/>
    </w:rPr>
  </w:style>
  <w:style w:type="paragraph" w:styleId="Header">
    <w:name w:val="header"/>
    <w:basedOn w:val="Normal"/>
    <w:link w:val="HeaderChar"/>
    <w:uiPriority w:val="99"/>
    <w:unhideWhenUsed/>
    <w:rsid w:val="00E41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3AD"/>
  </w:style>
  <w:style w:type="paragraph" w:styleId="Footer">
    <w:name w:val="footer"/>
    <w:basedOn w:val="Normal"/>
    <w:link w:val="FooterChar"/>
    <w:uiPriority w:val="99"/>
    <w:unhideWhenUsed/>
    <w:rsid w:val="00E41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c79f64b3-4d4b-4e76-99fc-a2885c42c608" ContentTypeId="0x01010017CD184249A72C4B9DB3A58EEEBFB6F7" PreviousValue="false"/>
</file>

<file path=customXml/item2.xml><?xml version="1.0" encoding="utf-8"?>
<p:properties xmlns:p="http://schemas.microsoft.com/office/2006/metadata/properties" xmlns:xsi="http://www.w3.org/2001/XMLSchema-instance" xmlns:pc="http://schemas.microsoft.com/office/infopath/2007/PartnerControls">
  <documentManagement>
    <mvOriginal_x0020_Author xmlns="bce12023-c232-4b5e-b3c7-61dda0da11fc" xsi:nil="true"/>
    <mvOriginal_x0020_Producer xmlns="bce12023-c232-4b5e-b3c7-61dda0da11fc" xsi:nil="true"/>
    <mvOriginal_x0020_Modified xmlns="bce12023-c232-4b5e-b3c7-61dda0da11fc" xsi:nil="true"/>
    <mvOriginal_x0020_Created xmlns="bce12023-c232-4b5e-b3c7-61dda0da11fc" xsi:nil="true"/>
    <MLA_AgendaItem xmlns="9572e5ec-7c9d-459c-8653-6834056a5101" xsi:nil="true"/>
    <MLA_Presenter xmlns="9572e5ec-7c9d-459c-8653-6834056a5101" xsi:nil="true"/>
    <IconOverlay xmlns="http://schemas.microsoft.com/sharepoint/v4" xsi:nil="true"/>
    <m1236dd5de9048a289aff6c778322068 xmlns="9572e5ec-7c9d-459c-8653-6834056a5101">
      <Terms xmlns="http://schemas.microsoft.com/office/infopath/2007/PartnerControls"/>
    </m1236dd5de9048a289aff6c778322068>
    <TaxCatchAll xmlns="9572e5ec-7c9d-459c-8653-6834056a5101"/>
    <MLA_MeetingID xmlns="9572e5ec-7c9d-459c-8653-6834056a5101">2017-11-20</MLA_MeetingID>
    <_dlc_DocId xmlns="9572e5ec-7c9d-459c-8653-6834056a5101">MLA000831487</_dlc_DocId>
    <_dlc_DocIdUrl xmlns="9572e5ec-7c9d-459c-8653-6834056a5101">
      <Url>https://teams-ishare.mla.com.au/ccc/srm/ss038/m001/_layouts/15/DocIdRedir.aspx?ID=MLA000831487</Url>
      <Description>MLA000831487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LA Document" ma:contentTypeID="0x01010017CD184249A72C4B9DB3A58EEEBFB6F700F17FC6EEC012D745B8FD7D773BE83121" ma:contentTypeVersion="1" ma:contentTypeDescription="Create a new document." ma:contentTypeScope="" ma:versionID="dcc9696d0f280dfc1eb7920a77512da8">
  <xsd:schema xmlns:xsd="http://www.w3.org/2001/XMLSchema" xmlns:xs="http://www.w3.org/2001/XMLSchema" xmlns:p="http://schemas.microsoft.com/office/2006/metadata/properties" xmlns:ns2="bce12023-c232-4b5e-b3c7-61dda0da11fc" xmlns:ns3="9572e5ec-7c9d-459c-8653-6834056a5101" xmlns:ns4="http://schemas.microsoft.com/sharepoint/v4" targetNamespace="http://schemas.microsoft.com/office/2006/metadata/properties" ma:root="true" ma:fieldsID="c99febbd38ee82f1071697370a7519a0" ns2:_="" ns3:_="" ns4:_="">
    <xsd:import namespace="bce12023-c232-4b5e-b3c7-61dda0da11fc"/>
    <xsd:import namespace="9572e5ec-7c9d-459c-8653-6834056a5101"/>
    <xsd:import namespace="http://schemas.microsoft.com/sharepoint/v4"/>
    <xsd:element name="properties">
      <xsd:complexType>
        <xsd:sequence>
          <xsd:element name="documentManagement">
            <xsd:complexType>
              <xsd:all>
                <xsd:element ref="ns2:mvOriginal_x0020_Author" minOccurs="0"/>
                <xsd:element ref="ns2:mvOriginal_x0020_Created" minOccurs="0"/>
                <xsd:element ref="ns2:mvOriginal_x0020_Modified" minOccurs="0"/>
                <xsd:element ref="ns2:mvOriginal_x0020_Producer" minOccurs="0"/>
                <xsd:element ref="ns3:_dlc_DocId" minOccurs="0"/>
                <xsd:element ref="ns3:_dlc_DocIdUrl" minOccurs="0"/>
                <xsd:element ref="ns3:_dlc_DocIdPersistId" minOccurs="0"/>
                <xsd:element ref="ns3:TaxCatchAll" minOccurs="0"/>
                <xsd:element ref="ns3:TaxCatchAllLabel" minOccurs="0"/>
                <xsd:element ref="ns3:MLA_Presenter" minOccurs="0"/>
                <xsd:element ref="ns3:MLA_AgendaItem" minOccurs="0"/>
                <xsd:element ref="ns3:MLA_MeetingID"/>
                <xsd:element ref="ns3:m1236dd5de9048a289aff6c778322068"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12023-c232-4b5e-b3c7-61dda0da11fc" elementFormDefault="qualified">
    <xsd:import namespace="http://schemas.microsoft.com/office/2006/documentManagement/types"/>
    <xsd:import namespace="http://schemas.microsoft.com/office/infopath/2007/PartnerControls"/>
    <xsd:element name="mvOriginal_x0020_Author" ma:index="8" nillable="true" ma:displayName="Original Author" ma:hidden="true" ma:internalName="mvOriginal_x0020_Author">
      <xsd:simpleType>
        <xsd:restriction base="dms:Text">
          <xsd:maxLength value="255"/>
        </xsd:restriction>
      </xsd:simpleType>
    </xsd:element>
    <xsd:element name="mvOriginal_x0020_Created" ma:index="9" nillable="true" ma:displayName="Original Created" ma:format="DateTime" ma:hidden="true" ma:internalName="mvOriginal_x0020_Created" ma:readOnly="false">
      <xsd:simpleType>
        <xsd:restriction base="dms:DateTime"/>
      </xsd:simpleType>
    </xsd:element>
    <xsd:element name="mvOriginal_x0020_Modified" ma:index="10" nillable="true" ma:displayName="Original Modified" ma:format="DateTime" ma:hidden="true" ma:internalName="mvOriginal_x0020_Modified" ma:readOnly="false">
      <xsd:simpleType>
        <xsd:restriction base="dms:DateTime"/>
      </xsd:simpleType>
    </xsd:element>
    <xsd:element name="mvOriginal_x0020_Producer" ma:index="11" nillable="true" ma:displayName="Original Producer" ma:hidden="true" ma:internalName="mvOriginal_x0020_Produ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2e5ec-7c9d-459c-8653-6834056a51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26e435a-fa9f-4740-86d7-857c17af8f74}" ma:internalName="TaxCatchAll" ma:showField="CatchAllData" ma:web="bce12023-c232-4b5e-b3c7-61dda0da11fc">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26e435a-fa9f-4740-86d7-857c17af8f74}" ma:internalName="TaxCatchAllLabel" ma:readOnly="true" ma:showField="CatchAllDataLabel" ma:web="bce12023-c232-4b5e-b3c7-61dda0da11fc">
      <xsd:complexType>
        <xsd:complexContent>
          <xsd:extension base="dms:MultiChoiceLookup">
            <xsd:sequence>
              <xsd:element name="Value" type="dms:Lookup" maxOccurs="unbounded" minOccurs="0" nillable="true"/>
            </xsd:sequence>
          </xsd:extension>
        </xsd:complexContent>
      </xsd:complexType>
    </xsd:element>
    <xsd:element name="MLA_Presenter" ma:index="18" nillable="true" ma:displayName="Presenter" ma:internalName="MLA_Presenter">
      <xsd:simpleType>
        <xsd:restriction base="dms:Text">
          <xsd:maxLength value="255"/>
        </xsd:restriction>
      </xsd:simpleType>
    </xsd:element>
    <xsd:element name="MLA_AgendaItem" ma:index="19" nillable="true" ma:displayName="Agenda Item" ma:internalName="MLA_AgendaItem">
      <xsd:simpleType>
        <xsd:restriction base="dms:Text">
          <xsd:maxLength value="20"/>
        </xsd:restriction>
      </xsd:simpleType>
    </xsd:element>
    <xsd:element name="MLA_MeetingID" ma:index="20" ma:displayName="Meeting ID" ma:internalName="MLA_MeetingID">
      <xsd:simpleType>
        <xsd:restriction base="dms:Text">
          <xsd:maxLength value="255"/>
        </xsd:restriction>
      </xsd:simpleType>
    </xsd:element>
    <xsd:element name="m1236dd5de9048a289aff6c778322068" ma:index="21" nillable="true" ma:taxonomy="true" ma:internalName="m1236dd5de9048a289aff6c778322068" ma:taxonomyFieldName="MLA_DocumentType" ma:displayName="Document Type" ma:default="" ma:fieldId="{61236dd5-de90-48a2-89af-f6c778322068}" ma:sspId="c79f64b3-4d4b-4e76-99fc-a2885c42c608" ma:termSetId="ca38fd21-ce81-46d7-ad07-2af3bc56f5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E0AD6-A8F3-453B-81A2-D54862D0F8DD}">
  <ds:schemaRefs>
    <ds:schemaRef ds:uri="Microsoft.SharePoint.Taxonomy.ContentTypeSync"/>
  </ds:schemaRefs>
</ds:datastoreItem>
</file>

<file path=customXml/itemProps2.xml><?xml version="1.0" encoding="utf-8"?>
<ds:datastoreItem xmlns:ds="http://schemas.openxmlformats.org/officeDocument/2006/customXml" ds:itemID="{C8EC3AB5-ED21-48A6-A403-57AFEE82385B}">
  <ds:schemaRefs>
    <ds:schemaRef ds:uri="http://schemas.microsoft.com/sharepoint/v4"/>
    <ds:schemaRef ds:uri="http://purl.org/dc/terms/"/>
    <ds:schemaRef ds:uri="bce12023-c232-4b5e-b3c7-61dda0da11fc"/>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9572e5ec-7c9d-459c-8653-6834056a5101"/>
    <ds:schemaRef ds:uri="http://www.w3.org/XML/1998/namespace"/>
    <ds:schemaRef ds:uri="http://purl.org/dc/elements/1.1/"/>
  </ds:schemaRefs>
</ds:datastoreItem>
</file>

<file path=customXml/itemProps3.xml><?xml version="1.0" encoding="utf-8"?>
<ds:datastoreItem xmlns:ds="http://schemas.openxmlformats.org/officeDocument/2006/customXml" ds:itemID="{3B7E7128-41D2-4E56-8A05-ACBA8F71B922}">
  <ds:schemaRefs>
    <ds:schemaRef ds:uri="http://schemas.microsoft.com/sharepoint/events"/>
  </ds:schemaRefs>
</ds:datastoreItem>
</file>

<file path=customXml/itemProps4.xml><?xml version="1.0" encoding="utf-8"?>
<ds:datastoreItem xmlns:ds="http://schemas.openxmlformats.org/officeDocument/2006/customXml" ds:itemID="{DBDE8A7A-2B0A-4D05-8E90-D1A6FAB2C246}">
  <ds:schemaRefs>
    <ds:schemaRef ds:uri="http://schemas.openxmlformats.org/officeDocument/2006/bibliography"/>
  </ds:schemaRefs>
</ds:datastoreItem>
</file>

<file path=customXml/itemProps5.xml><?xml version="1.0" encoding="utf-8"?>
<ds:datastoreItem xmlns:ds="http://schemas.openxmlformats.org/officeDocument/2006/customXml" ds:itemID="{6E3D3E78-5F18-43B8-AC41-160633D5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12023-c232-4b5e-b3c7-61dda0da11fc"/>
    <ds:schemaRef ds:uri="9572e5ec-7c9d-459c-8653-6834056a51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540754-BB10-40B5-BD01-A6F40FF17E55}">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1181</ap:Words>
  <ap:Characters>6734</ap:Characters>
  <ap:Application>Microsoft Office Word</ap:Application>
  <ap:DocSecurity>0</ap:DocSecurity>
  <ap:Lines>56</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7900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2022-04-28T00:32:20Z</dcterms:created>
  <dcterms:modified xsi:type="dcterms:W3CDTF">2022-04-28T00:32:20Z</dcterms:modified>
</cp:coreProperties>
</file>